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84D5" w14:textId="77777777" w:rsidR="004D0EDC" w:rsidRDefault="004D0EDC" w:rsidP="00787A26">
      <w:pPr>
        <w:spacing w:after="120"/>
        <w:jc w:val="both"/>
        <w:rPr>
          <w:rFonts w:ascii="Times New Roman" w:hAnsi="Times New Roman" w:cs="Times New Roman"/>
          <w:sz w:val="28"/>
          <w:szCs w:val="28"/>
          <w:lang w:val="en-GB"/>
        </w:rPr>
      </w:pPr>
      <w:bookmarkStart w:id="0" w:name="_Hlk52266545"/>
      <w:r w:rsidRPr="004D0EDC">
        <w:rPr>
          <w:rFonts w:ascii="Times New Roman" w:hAnsi="Times New Roman" w:cs="Times New Roman"/>
          <w:sz w:val="28"/>
          <w:szCs w:val="28"/>
          <w:lang w:val="en-GB"/>
        </w:rPr>
        <w:t xml:space="preserve">Application of Air-Permeability Measurements to </w:t>
      </w:r>
      <w:r w:rsidR="00787A26" w:rsidRPr="004D0EDC">
        <w:rPr>
          <w:rFonts w:ascii="Times New Roman" w:hAnsi="Times New Roman" w:cs="Times New Roman"/>
          <w:sz w:val="28"/>
          <w:szCs w:val="28"/>
          <w:lang w:val="en-GB"/>
        </w:rPr>
        <w:t>Hong Kong-Zhuhai-Macao Link</w:t>
      </w:r>
    </w:p>
    <w:p w14:paraId="5D3AA932" w14:textId="05D7A8CB" w:rsidR="00787A26" w:rsidRPr="004D0EDC" w:rsidRDefault="004D0EDC" w:rsidP="004D0EDC">
      <w:pPr>
        <w:spacing w:after="120"/>
        <w:jc w:val="center"/>
        <w:rPr>
          <w:rFonts w:ascii="Times New Roman" w:hAnsi="Times New Roman" w:cs="Times New Roman"/>
          <w:sz w:val="24"/>
          <w:szCs w:val="24"/>
          <w:u w:val="single"/>
          <w:lang w:val="en-GB"/>
        </w:rPr>
      </w:pPr>
      <w:r w:rsidRPr="004D0EDC">
        <w:rPr>
          <w:rFonts w:ascii="Times New Roman" w:hAnsi="Times New Roman" w:cs="Times New Roman"/>
          <w:sz w:val="24"/>
          <w:szCs w:val="24"/>
          <w:lang w:val="en-GB"/>
        </w:rPr>
        <w:t>Taken from Section 11.3.2 of [Torrent et al, 2022]</w:t>
      </w:r>
    </w:p>
    <w:p w14:paraId="2E79D5CE" w14:textId="34AA4325"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The Hong Kong–Zhuhai–Macau (HZM) sea link project involves 28.8 km of sea bridges (four navigable spans), two offshore artificial islands and a submerged tunnel of 6.8 km, with a total investment of nearly 12 billion US dollars. The project is situated on the south-eastern coast of China and links three important cities (Hong Kong, Zhuhai and Macau) with six lanes in dual directions with a design speed of 100 km/h.</w:t>
      </w:r>
    </w:p>
    <w:p w14:paraId="130C163B" w14:textId="77777777"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The reinforced concrete structures in the project include piers, bearing platforms and piles for sea bridges, the segments for the submerged tunnel and also retaining walls and breakwaters for the artificial islands. One of the technical challenges of the HZM project was to achieve a design service life of 120 years for the concrete structures in an aggressive marine environment.</w:t>
      </w:r>
    </w:p>
    <w:p w14:paraId="51BD9978" w14:textId="77777777"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 xml:space="preserve">An analytical service life design was performed applying a probabilistic model, based on the </w:t>
      </w:r>
      <w:proofErr w:type="spellStart"/>
      <w:r w:rsidRPr="00E54CE1">
        <w:rPr>
          <w:rFonts w:ascii="Times New Roman" w:hAnsi="Times New Roman" w:cs="Times New Roman"/>
          <w:lang w:val="en-GB"/>
        </w:rPr>
        <w:t>DuraCrete</w:t>
      </w:r>
      <w:proofErr w:type="spellEnd"/>
      <w:r w:rsidRPr="00E54CE1">
        <w:rPr>
          <w:rFonts w:ascii="Times New Roman" w:hAnsi="Times New Roman" w:cs="Times New Roman"/>
          <w:lang w:val="en-GB"/>
        </w:rPr>
        <w:t xml:space="preserve"> approach [</w:t>
      </w:r>
      <w:proofErr w:type="spellStart"/>
      <w:r w:rsidRPr="00E54CE1">
        <w:rPr>
          <w:rFonts w:ascii="Times New Roman" w:hAnsi="Times New Roman" w:cs="Times New Roman"/>
          <w:lang w:val="en-GB"/>
        </w:rPr>
        <w:t>DuraCrete</w:t>
      </w:r>
      <w:proofErr w:type="spellEnd"/>
      <w:r w:rsidRPr="00E54CE1">
        <w:rPr>
          <w:rFonts w:ascii="Times New Roman" w:hAnsi="Times New Roman" w:cs="Times New Roman"/>
          <w:lang w:val="en-GB"/>
        </w:rPr>
        <w:t>, 2000], but defining the input parameters from a thorough analysis of 30 years of experimental data of an exposure station located in a similar environment to that of the project and from tests performed during construction. The model was applied to structures under the following marine environment exposures: Submerged, Tidal, Splash and Atmospheric Zones. For a detailed description of the applied analytical model, see [Li et al, 2015].</w:t>
      </w:r>
    </w:p>
    <w:p w14:paraId="71B567BC" w14:textId="7AAB4DEE"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 xml:space="preserve">This real case refers to non-destructive measurements of air-permeability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and cover thickness </w:t>
      </w:r>
      <w:r w:rsidRPr="00E54CE1">
        <w:rPr>
          <w:rFonts w:ascii="Times New Roman" w:hAnsi="Times New Roman" w:cs="Times New Roman"/>
          <w:i/>
          <w:iCs/>
          <w:lang w:val="en-GB"/>
        </w:rPr>
        <w:t>d</w:t>
      </w:r>
      <w:r w:rsidRPr="00E54CE1">
        <w:rPr>
          <w:rFonts w:ascii="Times New Roman" w:hAnsi="Times New Roman" w:cs="Times New Roman"/>
          <w:lang w:val="en-GB"/>
        </w:rPr>
        <w:t xml:space="preserve"> (also of electrical resistivity </w:t>
      </w:r>
      <w:r w:rsidRPr="00E54CE1">
        <w:rPr>
          <w:rFonts w:ascii="Times New Roman" w:hAnsi="Times New Roman" w:cs="Times New Roman"/>
          <w:i/>
          <w:iCs/>
        </w:rPr>
        <w:t>ρ</w:t>
      </w:r>
      <w:r w:rsidRPr="00E54CE1">
        <w:rPr>
          <w:rFonts w:ascii="Times New Roman" w:hAnsi="Times New Roman" w:cs="Times New Roman"/>
          <w:lang w:val="en-GB"/>
        </w:rPr>
        <w:t>, not discussed here) on the monumental precast sections of the submerged tunnel (see Fig. 1). These segments were built on land and later floated to be towed and sunk at their precise positions. The durability requirements for the construction of the segments are described in Table 1.</w:t>
      </w:r>
    </w:p>
    <w:p w14:paraId="2FB54AD6" w14:textId="77777777" w:rsidR="00720400" w:rsidRDefault="00787A26" w:rsidP="004D0EDC">
      <w:pPr>
        <w:spacing w:after="120"/>
        <w:jc w:val="center"/>
        <w:rPr>
          <w:rFonts w:ascii="Times New Roman" w:hAnsi="Times New Roman" w:cs="Times New Roman"/>
          <w:lang w:val="en-GB"/>
        </w:rPr>
      </w:pPr>
      <w:r w:rsidRPr="00787A26">
        <w:rPr>
          <w:rFonts w:ascii="Times New Roman" w:hAnsi="Times New Roman" w:cs="Times New Roman"/>
          <w:b/>
          <w:bCs/>
          <w:color w:val="FF0000"/>
          <w:lang w:val="en-GB"/>
        </w:rPr>
        <w:drawing>
          <wp:inline distT="0" distB="0" distL="0" distR="0" wp14:anchorId="648B2639" wp14:editId="04F0E871">
            <wp:extent cx="4967605" cy="2188983"/>
            <wp:effectExtent l="0" t="0" r="444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70598" cy="2190302"/>
                    </a:xfrm>
                    <a:prstGeom prst="rect">
                      <a:avLst/>
                    </a:prstGeom>
                  </pic:spPr>
                </pic:pic>
              </a:graphicData>
            </a:graphic>
          </wp:inline>
        </w:drawing>
      </w:r>
      <w:bookmarkStart w:id="1" w:name="_Hlk71197960"/>
    </w:p>
    <w:p w14:paraId="3B84955A" w14:textId="6AB8F6E0" w:rsidR="004D0EDC" w:rsidRPr="004D0EDC" w:rsidRDefault="004D0EDC" w:rsidP="004D0EDC">
      <w:pPr>
        <w:spacing w:after="120"/>
        <w:jc w:val="center"/>
        <w:rPr>
          <w:rFonts w:ascii="Times New Roman" w:hAnsi="Times New Roman" w:cs="Times New Roman"/>
          <w:lang w:val="en-GB"/>
        </w:rPr>
      </w:pPr>
      <w:r w:rsidRPr="004D0EDC">
        <w:rPr>
          <w:rFonts w:ascii="Times New Roman" w:hAnsi="Times New Roman" w:cs="Times New Roman"/>
          <w:lang w:val="en-GB"/>
        </w:rPr>
        <w:t xml:space="preserve">Fig. 1 – View and </w:t>
      </w:r>
      <w:proofErr w:type="spellStart"/>
      <w:r w:rsidRPr="004D0EDC">
        <w:rPr>
          <w:rFonts w:ascii="Times New Roman" w:hAnsi="Times New Roman" w:cs="Times New Roman"/>
          <w:lang w:val="en-GB"/>
        </w:rPr>
        <w:t>dimensions</w:t>
      </w:r>
      <w:proofErr w:type="spellEnd"/>
      <w:r w:rsidRPr="004D0EDC">
        <w:rPr>
          <w:rFonts w:ascii="Times New Roman" w:hAnsi="Times New Roman" w:cs="Times New Roman"/>
          <w:lang w:val="en-GB"/>
        </w:rPr>
        <w:t xml:space="preserve"> of tunnel </w:t>
      </w:r>
      <w:proofErr w:type="spellStart"/>
      <w:r w:rsidRPr="004D0EDC">
        <w:rPr>
          <w:rFonts w:ascii="Times New Roman" w:hAnsi="Times New Roman" w:cs="Times New Roman"/>
          <w:lang w:val="en-GB"/>
        </w:rPr>
        <w:t>precast</w:t>
      </w:r>
      <w:proofErr w:type="spellEnd"/>
      <w:r w:rsidRPr="004D0EDC">
        <w:rPr>
          <w:rFonts w:ascii="Times New Roman" w:hAnsi="Times New Roman" w:cs="Times New Roman"/>
          <w:lang w:val="en-GB"/>
        </w:rPr>
        <w:t xml:space="preserve"> </w:t>
      </w:r>
      <w:proofErr w:type="spellStart"/>
      <w:r w:rsidRPr="004D0EDC">
        <w:rPr>
          <w:rFonts w:ascii="Times New Roman" w:hAnsi="Times New Roman" w:cs="Times New Roman"/>
          <w:lang w:val="en-GB"/>
        </w:rPr>
        <w:t>segments</w:t>
      </w:r>
      <w:proofErr w:type="spellEnd"/>
      <w:r w:rsidRPr="004D0EDC">
        <w:rPr>
          <w:rFonts w:ascii="Times New Roman" w:hAnsi="Times New Roman" w:cs="Times New Roman"/>
          <w:lang w:val="en-GB"/>
        </w:rPr>
        <w:t xml:space="preserve"> of Hong Kong – Zhuhai – Macao link</w:t>
      </w:r>
    </w:p>
    <w:p w14:paraId="1AECF6EF" w14:textId="77777777" w:rsidR="00720400" w:rsidRDefault="00720400" w:rsidP="00E307F2">
      <w:pPr>
        <w:spacing w:after="120"/>
        <w:jc w:val="center"/>
        <w:rPr>
          <w:rFonts w:ascii="Times New Roman" w:hAnsi="Times New Roman" w:cs="Times New Roman"/>
        </w:rPr>
      </w:pPr>
      <w:bookmarkStart w:id="2" w:name="_Hlk71210965"/>
      <w:bookmarkStart w:id="3" w:name="_Hlk71210951"/>
      <w:bookmarkEnd w:id="1"/>
    </w:p>
    <w:p w14:paraId="4847FA29" w14:textId="4CC243AF" w:rsidR="00E307F2" w:rsidRPr="00E307F2" w:rsidRDefault="00E307F2" w:rsidP="00E307F2">
      <w:pPr>
        <w:spacing w:after="120"/>
        <w:jc w:val="center"/>
        <w:rPr>
          <w:rFonts w:ascii="Times New Roman" w:hAnsi="Times New Roman" w:cs="Times New Roman"/>
        </w:rPr>
      </w:pPr>
      <w:proofErr w:type="spellStart"/>
      <w:r w:rsidRPr="00E307F2">
        <w:rPr>
          <w:rFonts w:ascii="Times New Roman" w:hAnsi="Times New Roman" w:cs="Times New Roman"/>
        </w:rPr>
        <w:t>Table</w:t>
      </w:r>
      <w:proofErr w:type="spellEnd"/>
      <w:r w:rsidRPr="00E307F2">
        <w:rPr>
          <w:rFonts w:ascii="Times New Roman" w:hAnsi="Times New Roman" w:cs="Times New Roman"/>
        </w:rPr>
        <w:t xml:space="preserve"> 1 – </w:t>
      </w:r>
      <w:proofErr w:type="spellStart"/>
      <w:r w:rsidRPr="00E307F2">
        <w:rPr>
          <w:rFonts w:ascii="Times New Roman" w:hAnsi="Times New Roman" w:cs="Times New Roman"/>
        </w:rPr>
        <w:t>Durability</w:t>
      </w:r>
      <w:proofErr w:type="spellEnd"/>
      <w:r w:rsidRPr="00E307F2">
        <w:rPr>
          <w:rFonts w:ascii="Times New Roman" w:hAnsi="Times New Roman" w:cs="Times New Roman"/>
        </w:rPr>
        <w:t xml:space="preserve"> </w:t>
      </w:r>
      <w:proofErr w:type="spellStart"/>
      <w:r w:rsidRPr="00E307F2">
        <w:rPr>
          <w:rFonts w:ascii="Times New Roman" w:hAnsi="Times New Roman" w:cs="Times New Roman"/>
        </w:rPr>
        <w:t>requirements</w:t>
      </w:r>
      <w:proofErr w:type="spellEnd"/>
      <w:r w:rsidRPr="00E307F2">
        <w:rPr>
          <w:rFonts w:ascii="Times New Roman" w:hAnsi="Times New Roman" w:cs="Times New Roman"/>
        </w:rPr>
        <w:t xml:space="preserve"> for the </w:t>
      </w:r>
      <w:proofErr w:type="spellStart"/>
      <w:r w:rsidRPr="00E307F2">
        <w:rPr>
          <w:rFonts w:ascii="Times New Roman" w:hAnsi="Times New Roman" w:cs="Times New Roman"/>
        </w:rPr>
        <w:t>construction</w:t>
      </w:r>
      <w:proofErr w:type="spellEnd"/>
      <w:r w:rsidRPr="00E307F2">
        <w:rPr>
          <w:rFonts w:ascii="Times New Roman" w:hAnsi="Times New Roman" w:cs="Times New Roman"/>
        </w:rPr>
        <w:t xml:space="preserve"> of </w:t>
      </w:r>
      <w:proofErr w:type="spellStart"/>
      <w:r w:rsidRPr="00E307F2">
        <w:rPr>
          <w:rFonts w:ascii="Times New Roman" w:hAnsi="Times New Roman" w:cs="Times New Roman"/>
        </w:rPr>
        <w:t>submerged</w:t>
      </w:r>
      <w:proofErr w:type="spellEnd"/>
      <w:r w:rsidRPr="00E307F2">
        <w:rPr>
          <w:rFonts w:ascii="Times New Roman" w:hAnsi="Times New Roman" w:cs="Times New Roman"/>
        </w:rPr>
        <w:t xml:space="preserve"> </w:t>
      </w:r>
      <w:proofErr w:type="spellStart"/>
      <w:r w:rsidRPr="00E307F2">
        <w:rPr>
          <w:rFonts w:ascii="Times New Roman" w:hAnsi="Times New Roman" w:cs="Times New Roman"/>
        </w:rPr>
        <w:t>precast</w:t>
      </w:r>
      <w:proofErr w:type="spellEnd"/>
      <w:r w:rsidRPr="00E307F2">
        <w:rPr>
          <w:rFonts w:ascii="Times New Roman" w:hAnsi="Times New Roman" w:cs="Times New Roman"/>
        </w:rPr>
        <w:t xml:space="preserve"> tunnel </w:t>
      </w:r>
      <w:proofErr w:type="spellStart"/>
      <w:r w:rsidRPr="00E307F2">
        <w:rPr>
          <w:rFonts w:ascii="Times New Roman" w:hAnsi="Times New Roman" w:cs="Times New Roman"/>
        </w:rPr>
        <w:t>elements</w:t>
      </w:r>
      <w:proofErr w:type="spellEnd"/>
    </w:p>
    <w:tbl>
      <w:tblPr>
        <w:tblStyle w:val="Tablaconcuadrcula"/>
        <w:tblW w:w="0" w:type="auto"/>
        <w:tblInd w:w="1555" w:type="dxa"/>
        <w:tblLook w:val="04A0" w:firstRow="1" w:lastRow="0" w:firstColumn="1" w:lastColumn="0" w:noHBand="0" w:noVBand="1"/>
      </w:tblPr>
      <w:tblGrid>
        <w:gridCol w:w="2976"/>
        <w:gridCol w:w="993"/>
        <w:gridCol w:w="1134"/>
        <w:gridCol w:w="992"/>
        <w:gridCol w:w="1134"/>
      </w:tblGrid>
      <w:tr w:rsidR="00E307F2" w:rsidRPr="00E307F2" w14:paraId="28C2AF3D" w14:textId="77777777" w:rsidTr="00D21395">
        <w:tc>
          <w:tcPr>
            <w:tcW w:w="5103" w:type="dxa"/>
            <w:gridSpan w:val="3"/>
          </w:tcPr>
          <w:p w14:paraId="0C54C4E6"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Requirements</w:t>
            </w:r>
          </w:p>
        </w:tc>
        <w:tc>
          <w:tcPr>
            <w:tcW w:w="992" w:type="dxa"/>
          </w:tcPr>
          <w:p w14:paraId="2B126267"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Intrados</w:t>
            </w:r>
          </w:p>
        </w:tc>
        <w:tc>
          <w:tcPr>
            <w:tcW w:w="1134" w:type="dxa"/>
          </w:tcPr>
          <w:p w14:paraId="7B55E1C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Extrados</w:t>
            </w:r>
          </w:p>
        </w:tc>
      </w:tr>
      <w:tr w:rsidR="00E307F2" w:rsidRPr="00E307F2" w14:paraId="363B3775" w14:textId="77777777" w:rsidTr="00D21395">
        <w:tc>
          <w:tcPr>
            <w:tcW w:w="3969" w:type="dxa"/>
            <w:gridSpan w:val="2"/>
          </w:tcPr>
          <w:p w14:paraId="4FC97008"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Design Service Life</w:t>
            </w:r>
          </w:p>
        </w:tc>
        <w:tc>
          <w:tcPr>
            <w:tcW w:w="1134" w:type="dxa"/>
          </w:tcPr>
          <w:p w14:paraId="7DDBB792"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years</w:t>
            </w:r>
          </w:p>
        </w:tc>
        <w:tc>
          <w:tcPr>
            <w:tcW w:w="2126" w:type="dxa"/>
            <w:gridSpan w:val="2"/>
          </w:tcPr>
          <w:p w14:paraId="711E65FB"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120</w:t>
            </w:r>
          </w:p>
        </w:tc>
      </w:tr>
      <w:tr w:rsidR="00E307F2" w:rsidRPr="00E307F2" w14:paraId="203403D0" w14:textId="77777777" w:rsidTr="00D21395">
        <w:tc>
          <w:tcPr>
            <w:tcW w:w="3969" w:type="dxa"/>
            <w:gridSpan w:val="2"/>
          </w:tcPr>
          <w:p w14:paraId="18CB654A"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Durability Limit State</w:t>
            </w:r>
          </w:p>
        </w:tc>
        <w:tc>
          <w:tcPr>
            <w:tcW w:w="1134" w:type="dxa"/>
          </w:tcPr>
          <w:p w14:paraId="4DF97CEE"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w:t>
            </w:r>
          </w:p>
        </w:tc>
        <w:tc>
          <w:tcPr>
            <w:tcW w:w="2126" w:type="dxa"/>
            <w:gridSpan w:val="2"/>
          </w:tcPr>
          <w:p w14:paraId="773AA760"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Corrosion Initiation</w:t>
            </w:r>
          </w:p>
        </w:tc>
      </w:tr>
      <w:tr w:rsidR="00E307F2" w:rsidRPr="00E307F2" w14:paraId="5C066DF2" w14:textId="77777777" w:rsidTr="00D21395">
        <w:tc>
          <w:tcPr>
            <w:tcW w:w="3969" w:type="dxa"/>
            <w:gridSpan w:val="2"/>
          </w:tcPr>
          <w:p w14:paraId="068318CF"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Minimum Cover Thickness</w:t>
            </w:r>
          </w:p>
        </w:tc>
        <w:tc>
          <w:tcPr>
            <w:tcW w:w="1134" w:type="dxa"/>
          </w:tcPr>
          <w:p w14:paraId="6E5B734C"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mm</w:t>
            </w:r>
          </w:p>
        </w:tc>
        <w:tc>
          <w:tcPr>
            <w:tcW w:w="992" w:type="dxa"/>
          </w:tcPr>
          <w:p w14:paraId="456309F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50</w:t>
            </w:r>
          </w:p>
        </w:tc>
        <w:tc>
          <w:tcPr>
            <w:tcW w:w="1134" w:type="dxa"/>
          </w:tcPr>
          <w:p w14:paraId="038337F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70</w:t>
            </w:r>
          </w:p>
        </w:tc>
      </w:tr>
      <w:tr w:rsidR="00E307F2" w:rsidRPr="00E307F2" w14:paraId="4818983C" w14:textId="77777777" w:rsidTr="00D21395">
        <w:tc>
          <w:tcPr>
            <w:tcW w:w="2976" w:type="dxa"/>
          </w:tcPr>
          <w:p w14:paraId="7DB4C2BD"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Concrete Grade</w:t>
            </w:r>
          </w:p>
        </w:tc>
        <w:tc>
          <w:tcPr>
            <w:tcW w:w="993" w:type="dxa"/>
          </w:tcPr>
          <w:p w14:paraId="1A9FC718"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 28 d.</w:t>
            </w:r>
          </w:p>
        </w:tc>
        <w:tc>
          <w:tcPr>
            <w:tcW w:w="1134" w:type="dxa"/>
          </w:tcPr>
          <w:p w14:paraId="7EA5B610"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MPa</w:t>
            </w:r>
          </w:p>
        </w:tc>
        <w:tc>
          <w:tcPr>
            <w:tcW w:w="2126" w:type="dxa"/>
            <w:gridSpan w:val="2"/>
          </w:tcPr>
          <w:p w14:paraId="3646758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C45</w:t>
            </w:r>
          </w:p>
        </w:tc>
      </w:tr>
      <w:tr w:rsidR="00E307F2" w:rsidRPr="00E307F2" w14:paraId="191AB017" w14:textId="77777777" w:rsidTr="00D21395">
        <w:tc>
          <w:tcPr>
            <w:tcW w:w="2976" w:type="dxa"/>
            <w:vMerge w:val="restart"/>
            <w:vAlign w:val="center"/>
          </w:tcPr>
          <w:p w14:paraId="729512DB"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Chloride diffusion coefficient</w:t>
            </w:r>
          </w:p>
        </w:tc>
        <w:tc>
          <w:tcPr>
            <w:tcW w:w="993" w:type="dxa"/>
            <w:vAlign w:val="center"/>
          </w:tcPr>
          <w:p w14:paraId="5C014C53"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 28 d.</w:t>
            </w:r>
          </w:p>
        </w:tc>
        <w:tc>
          <w:tcPr>
            <w:tcW w:w="1134" w:type="dxa"/>
            <w:vMerge w:val="restart"/>
            <w:vAlign w:val="center"/>
          </w:tcPr>
          <w:p w14:paraId="38D9F43A"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10</w:t>
            </w:r>
            <w:r w:rsidRPr="00E307F2">
              <w:rPr>
                <w:rFonts w:ascii="Times New Roman" w:hAnsi="Times New Roman"/>
                <w:sz w:val="22"/>
                <w:szCs w:val="22"/>
                <w:vertAlign w:val="superscript"/>
                <w:lang w:val="en-GB"/>
              </w:rPr>
              <w:t>-12</w:t>
            </w:r>
            <w:r w:rsidRPr="00E307F2">
              <w:rPr>
                <w:rFonts w:ascii="Times New Roman" w:hAnsi="Times New Roman"/>
                <w:sz w:val="22"/>
                <w:szCs w:val="22"/>
                <w:lang w:val="en-GB"/>
              </w:rPr>
              <w:t xml:space="preserve"> m²/s</w:t>
            </w:r>
          </w:p>
        </w:tc>
        <w:tc>
          <w:tcPr>
            <w:tcW w:w="992" w:type="dxa"/>
          </w:tcPr>
          <w:p w14:paraId="1C7B3A60"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6.5</w:t>
            </w:r>
          </w:p>
        </w:tc>
        <w:tc>
          <w:tcPr>
            <w:tcW w:w="1134" w:type="dxa"/>
          </w:tcPr>
          <w:p w14:paraId="3E7B3E88"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6.5</w:t>
            </w:r>
          </w:p>
        </w:tc>
      </w:tr>
      <w:tr w:rsidR="00E307F2" w:rsidRPr="00E307F2" w14:paraId="5C9E4B07" w14:textId="77777777" w:rsidTr="00D21395">
        <w:tc>
          <w:tcPr>
            <w:tcW w:w="2976" w:type="dxa"/>
            <w:vMerge/>
          </w:tcPr>
          <w:p w14:paraId="2FE21D2D" w14:textId="77777777" w:rsidR="00E307F2" w:rsidRPr="00E307F2" w:rsidRDefault="00E307F2" w:rsidP="00E307F2">
            <w:pPr>
              <w:spacing w:after="0"/>
              <w:jc w:val="both"/>
              <w:rPr>
                <w:rFonts w:ascii="Times New Roman" w:hAnsi="Times New Roman"/>
                <w:sz w:val="22"/>
                <w:szCs w:val="22"/>
                <w:lang w:val="en-GB"/>
              </w:rPr>
            </w:pPr>
          </w:p>
        </w:tc>
        <w:tc>
          <w:tcPr>
            <w:tcW w:w="993" w:type="dxa"/>
          </w:tcPr>
          <w:p w14:paraId="10861161"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 56 d.</w:t>
            </w:r>
          </w:p>
        </w:tc>
        <w:tc>
          <w:tcPr>
            <w:tcW w:w="1134" w:type="dxa"/>
            <w:vMerge/>
          </w:tcPr>
          <w:p w14:paraId="02557B67" w14:textId="77777777" w:rsidR="00E307F2" w:rsidRPr="00E307F2" w:rsidRDefault="00E307F2" w:rsidP="00E307F2">
            <w:pPr>
              <w:spacing w:after="0"/>
              <w:jc w:val="both"/>
              <w:rPr>
                <w:rFonts w:ascii="Times New Roman" w:hAnsi="Times New Roman"/>
                <w:sz w:val="22"/>
                <w:szCs w:val="22"/>
                <w:lang w:val="en-GB"/>
              </w:rPr>
            </w:pPr>
          </w:p>
        </w:tc>
        <w:tc>
          <w:tcPr>
            <w:tcW w:w="992" w:type="dxa"/>
          </w:tcPr>
          <w:p w14:paraId="246BC4A2"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4.5</w:t>
            </w:r>
          </w:p>
        </w:tc>
        <w:tc>
          <w:tcPr>
            <w:tcW w:w="1134" w:type="dxa"/>
          </w:tcPr>
          <w:p w14:paraId="556346C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4.5</w:t>
            </w:r>
          </w:p>
        </w:tc>
      </w:tr>
      <w:tr w:rsidR="00E307F2" w:rsidRPr="00E307F2" w14:paraId="28D9BD28" w14:textId="77777777" w:rsidTr="00D21395">
        <w:tc>
          <w:tcPr>
            <w:tcW w:w="3969" w:type="dxa"/>
            <w:gridSpan w:val="2"/>
          </w:tcPr>
          <w:p w14:paraId="3FB1417B"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Allowable crack width</w:t>
            </w:r>
          </w:p>
        </w:tc>
        <w:tc>
          <w:tcPr>
            <w:tcW w:w="1134" w:type="dxa"/>
          </w:tcPr>
          <w:p w14:paraId="0E29E1C8" w14:textId="77777777" w:rsidR="00E307F2" w:rsidRPr="00E307F2" w:rsidRDefault="00E307F2" w:rsidP="00E307F2">
            <w:pPr>
              <w:spacing w:after="0"/>
              <w:jc w:val="both"/>
              <w:rPr>
                <w:rFonts w:ascii="Times New Roman" w:hAnsi="Times New Roman"/>
                <w:sz w:val="22"/>
                <w:szCs w:val="22"/>
                <w:lang w:val="en-GB"/>
              </w:rPr>
            </w:pPr>
            <w:r w:rsidRPr="00E307F2">
              <w:rPr>
                <w:rFonts w:ascii="Times New Roman" w:hAnsi="Times New Roman"/>
                <w:sz w:val="22"/>
                <w:szCs w:val="22"/>
                <w:lang w:val="en-GB"/>
              </w:rPr>
              <w:t>mm</w:t>
            </w:r>
          </w:p>
        </w:tc>
        <w:tc>
          <w:tcPr>
            <w:tcW w:w="992" w:type="dxa"/>
          </w:tcPr>
          <w:p w14:paraId="77C75DD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0.2</w:t>
            </w:r>
          </w:p>
        </w:tc>
        <w:tc>
          <w:tcPr>
            <w:tcW w:w="1134" w:type="dxa"/>
          </w:tcPr>
          <w:p w14:paraId="3667028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0.2</w:t>
            </w:r>
          </w:p>
        </w:tc>
      </w:tr>
      <w:bookmarkEnd w:id="3"/>
    </w:tbl>
    <w:p w14:paraId="287C24A0" w14:textId="77777777" w:rsidR="00E307F2" w:rsidRDefault="00E307F2" w:rsidP="00E307F2">
      <w:pPr>
        <w:spacing w:after="120"/>
        <w:jc w:val="both"/>
        <w:rPr>
          <w:rFonts w:ascii="Times New Roman" w:hAnsi="Times New Roman" w:cs="Times New Roman"/>
          <w:lang w:val="en-GB"/>
        </w:rPr>
      </w:pPr>
    </w:p>
    <w:p w14:paraId="6D26E612" w14:textId="4315D36A" w:rsidR="00E307F2" w:rsidRPr="00E54CE1" w:rsidRDefault="00E307F2" w:rsidP="00E307F2">
      <w:pPr>
        <w:spacing w:after="120"/>
        <w:jc w:val="both"/>
        <w:rPr>
          <w:rFonts w:ascii="Times New Roman" w:hAnsi="Times New Roman" w:cs="Times New Roman"/>
          <w:lang w:val="en-GB"/>
        </w:rPr>
      </w:pPr>
      <w:r w:rsidRPr="00E54CE1">
        <w:rPr>
          <w:rFonts w:ascii="Times New Roman" w:hAnsi="Times New Roman" w:cs="Times New Roman"/>
          <w:lang w:val="en-GB"/>
        </w:rPr>
        <w:lastRenderedPageBreak/>
        <w:t>Once the construction was started, samples of the placed concrete were taken, on which the coefficient of diffusion was measured at 28 and 56 of age, following the migration test [</w:t>
      </w:r>
      <w:r w:rsidR="00BF0D79" w:rsidRPr="00BF0D79">
        <w:rPr>
          <w:rFonts w:ascii="Times New Roman" w:hAnsi="Times New Roman" w:cs="Times New Roman"/>
          <w:lang w:val="en-GB"/>
        </w:rPr>
        <w:t>EN 12390-18</w:t>
      </w:r>
      <w:r w:rsidR="00BF0D79">
        <w:rPr>
          <w:rFonts w:ascii="Times New Roman" w:hAnsi="Times New Roman" w:cs="Times New Roman"/>
          <w:lang w:val="en-GB"/>
        </w:rPr>
        <w:t xml:space="preserve">, </w:t>
      </w:r>
      <w:r w:rsidR="00BF0D79" w:rsidRPr="00BF0D79">
        <w:rPr>
          <w:rFonts w:ascii="Times New Roman" w:hAnsi="Times New Roman" w:cs="Times New Roman"/>
          <w:lang w:val="en-GB"/>
        </w:rPr>
        <w:t>2021</w:t>
      </w:r>
      <w:r w:rsidRPr="00E54CE1">
        <w:rPr>
          <w:rFonts w:ascii="Times New Roman" w:hAnsi="Times New Roman" w:cs="Times New Roman"/>
          <w:lang w:val="en-GB"/>
        </w:rPr>
        <w:t>.  At each age, 148 samples were tested with mean values of 4.68 and 2.95 (10</w:t>
      </w:r>
      <w:r w:rsidRPr="00E54CE1">
        <w:rPr>
          <w:rFonts w:ascii="Times New Roman" w:hAnsi="Times New Roman" w:cs="Times New Roman"/>
          <w:vertAlign w:val="superscript"/>
          <w:lang w:val="en-GB"/>
        </w:rPr>
        <w:t>-12</w:t>
      </w:r>
      <w:r w:rsidRPr="00E54CE1">
        <w:rPr>
          <w:rFonts w:ascii="Times New Roman" w:hAnsi="Times New Roman" w:cs="Times New Roman"/>
          <w:lang w:val="en-GB"/>
        </w:rPr>
        <w:t xml:space="preserve"> m²/s) at 28 and 56 days, respectively and coefficients of variation of 9.9% and 8.7% for same ages, respectively; </w:t>
      </w:r>
      <w:proofErr w:type="gramStart"/>
      <w:r w:rsidRPr="00E54CE1">
        <w:rPr>
          <w:rFonts w:ascii="Times New Roman" w:hAnsi="Times New Roman" w:cs="Times New Roman"/>
          <w:lang w:val="en-GB"/>
        </w:rPr>
        <w:t>i.e.</w:t>
      </w:r>
      <w:proofErr w:type="gramEnd"/>
      <w:r w:rsidRPr="00E54CE1">
        <w:rPr>
          <w:rFonts w:ascii="Times New Roman" w:hAnsi="Times New Roman" w:cs="Times New Roman"/>
          <w:lang w:val="en-GB"/>
        </w:rPr>
        <w:t xml:space="preserve"> in conformity with the requirements in Table </w:t>
      </w:r>
      <w:r w:rsidR="00B64325">
        <w:rPr>
          <w:rFonts w:ascii="Times New Roman" w:hAnsi="Times New Roman" w:cs="Times New Roman"/>
          <w:lang w:val="en-GB"/>
        </w:rPr>
        <w:t>1</w:t>
      </w:r>
      <w:r w:rsidRPr="00E54CE1">
        <w:rPr>
          <w:rFonts w:ascii="Times New Roman" w:hAnsi="Times New Roman" w:cs="Times New Roman"/>
          <w:lang w:val="en-GB"/>
        </w:rPr>
        <w:t>.</w:t>
      </w:r>
    </w:p>
    <w:p w14:paraId="08552E8A" w14:textId="3972771E" w:rsidR="00E307F2" w:rsidRDefault="00E307F2" w:rsidP="00E307F2">
      <w:pPr>
        <w:spacing w:after="120"/>
        <w:jc w:val="both"/>
        <w:rPr>
          <w:rFonts w:ascii="Times New Roman" w:hAnsi="Times New Roman" w:cs="Times New Roman"/>
          <w:lang w:val="en-GB"/>
        </w:rPr>
      </w:pPr>
      <w:r w:rsidRPr="00E54CE1">
        <w:rPr>
          <w:rFonts w:ascii="Times New Roman" w:hAnsi="Times New Roman" w:cs="Times New Roman"/>
          <w:lang w:val="en-GB"/>
        </w:rPr>
        <w:t xml:space="preserve">An analytical assessment of the service life, regarded equal to the corrosion initiation time, was made assuming the probability distributions and parameters indicated in Table </w:t>
      </w:r>
      <w:r w:rsidR="00BF0D79">
        <w:rPr>
          <w:rFonts w:ascii="Times New Roman" w:hAnsi="Times New Roman" w:cs="Times New Roman"/>
          <w:lang w:val="en-GB"/>
        </w:rPr>
        <w:t>2</w:t>
      </w:r>
      <w:r w:rsidRPr="00E54CE1">
        <w:rPr>
          <w:rFonts w:ascii="Times New Roman" w:hAnsi="Times New Roman" w:cs="Times New Roman"/>
          <w:lang w:val="en-GB"/>
        </w:rPr>
        <w:t xml:space="preserve">. A Monte Carlo simulation of </w:t>
      </w:r>
      <w:proofErr w:type="spellStart"/>
      <w:r w:rsidRPr="00E54CE1">
        <w:rPr>
          <w:rFonts w:ascii="Times New Roman" w:hAnsi="Times New Roman" w:cs="Times New Roman"/>
          <w:lang w:val="en-GB"/>
        </w:rPr>
        <w:t>Eqs</w:t>
      </w:r>
      <w:proofErr w:type="spellEnd"/>
      <w:r w:rsidRPr="00E54CE1">
        <w:rPr>
          <w:rFonts w:ascii="Times New Roman" w:hAnsi="Times New Roman" w:cs="Times New Roman"/>
          <w:lang w:val="en-GB"/>
        </w:rPr>
        <w:t xml:space="preserve">. </w:t>
      </w:r>
      <w:r w:rsidR="00720400">
        <w:rPr>
          <w:rFonts w:ascii="Times New Roman" w:hAnsi="Times New Roman" w:cs="Times New Roman"/>
          <w:lang w:val="en-GB"/>
        </w:rPr>
        <w:t>1</w:t>
      </w:r>
      <w:r w:rsidRPr="00E54CE1">
        <w:rPr>
          <w:rFonts w:ascii="Times New Roman" w:hAnsi="Times New Roman" w:cs="Times New Roman"/>
          <w:lang w:val="en-GB"/>
        </w:rPr>
        <w:t xml:space="preserve"> and </w:t>
      </w:r>
      <w:r w:rsidR="00720400">
        <w:rPr>
          <w:rFonts w:ascii="Times New Roman" w:hAnsi="Times New Roman" w:cs="Times New Roman"/>
          <w:lang w:val="en-GB"/>
        </w:rPr>
        <w:t>2</w:t>
      </w:r>
      <w:r w:rsidRPr="00E54CE1">
        <w:rPr>
          <w:rFonts w:ascii="Times New Roman" w:hAnsi="Times New Roman" w:cs="Times New Roman"/>
          <w:lang w:val="en-GB"/>
        </w:rPr>
        <w:t xml:space="preserve">, making the variables adopt at random the probability functions indicated in Table </w:t>
      </w:r>
      <w:r w:rsidR="00BF0D79">
        <w:rPr>
          <w:rFonts w:ascii="Times New Roman" w:hAnsi="Times New Roman" w:cs="Times New Roman"/>
          <w:lang w:val="en-GB"/>
        </w:rPr>
        <w:t>2</w:t>
      </w:r>
      <w:r w:rsidRPr="00E54CE1">
        <w:rPr>
          <w:rFonts w:ascii="Times New Roman" w:hAnsi="Times New Roman" w:cs="Times New Roman"/>
          <w:lang w:val="en-GB"/>
        </w:rPr>
        <w:t xml:space="preserve">, was run for different times </w:t>
      </w:r>
      <w:r w:rsidRPr="00E54CE1">
        <w:rPr>
          <w:rFonts w:ascii="Times New Roman" w:hAnsi="Times New Roman" w:cs="Times New Roman"/>
          <w:i/>
          <w:iCs/>
          <w:lang w:val="en-GB"/>
        </w:rPr>
        <w:t>t</w:t>
      </w:r>
      <w:r w:rsidRPr="00E54CE1">
        <w:rPr>
          <w:rFonts w:ascii="Times New Roman" w:hAnsi="Times New Roman" w:cs="Times New Roman"/>
          <w:lang w:val="en-GB"/>
        </w:rPr>
        <w:t xml:space="preserve">. For each </w:t>
      </w:r>
      <w:r w:rsidRPr="00E54CE1">
        <w:rPr>
          <w:rFonts w:ascii="Times New Roman" w:hAnsi="Times New Roman" w:cs="Times New Roman"/>
          <w:i/>
          <w:iCs/>
          <w:lang w:val="en-GB"/>
        </w:rPr>
        <w:t>t</w:t>
      </w:r>
      <w:r w:rsidRPr="00E54CE1">
        <w:rPr>
          <w:rFonts w:ascii="Times New Roman" w:hAnsi="Times New Roman" w:cs="Times New Roman"/>
          <w:lang w:val="en-GB"/>
        </w:rPr>
        <w:t xml:space="preserve">, the proportion of ‘failure’ cases, i.e. cases where </w:t>
      </w:r>
      <w:r w:rsidRPr="00E54CE1">
        <w:rPr>
          <w:rFonts w:ascii="Times New Roman" w:hAnsi="Times New Roman" w:cs="Times New Roman"/>
          <w:i/>
          <w:iCs/>
          <w:lang w:val="en-GB"/>
        </w:rPr>
        <w:t>C(</w:t>
      </w:r>
      <w:proofErr w:type="spellStart"/>
      <w:proofErr w:type="gramStart"/>
      <w:r w:rsidRPr="00E54CE1">
        <w:rPr>
          <w:rFonts w:ascii="Times New Roman" w:hAnsi="Times New Roman" w:cs="Times New Roman"/>
          <w:i/>
          <w:iCs/>
          <w:lang w:val="en-GB"/>
        </w:rPr>
        <w:t>x,t</w:t>
      </w:r>
      <w:proofErr w:type="spellEnd"/>
      <w:proofErr w:type="gramEnd"/>
      <w:r w:rsidRPr="00E54CE1">
        <w:rPr>
          <w:rFonts w:ascii="Times New Roman" w:hAnsi="Times New Roman" w:cs="Times New Roman"/>
          <w:i/>
          <w:iCs/>
          <w:lang w:val="en-GB"/>
        </w:rPr>
        <w:t xml:space="preserve">) </w:t>
      </w:r>
      <w:r w:rsidRPr="00E54CE1">
        <w:rPr>
          <w:rFonts w:ascii="Times New Roman" w:hAnsi="Times New Roman" w:cs="Times New Roman"/>
          <w:lang w:val="en-GB"/>
        </w:rPr>
        <w:t xml:space="preserve">&gt; </w:t>
      </w:r>
      <w:proofErr w:type="spellStart"/>
      <w:r w:rsidRPr="00E54CE1">
        <w:rPr>
          <w:rFonts w:ascii="Times New Roman" w:hAnsi="Times New Roman" w:cs="Times New Roman"/>
          <w:i/>
          <w:iCs/>
          <w:lang w:val="en-GB"/>
        </w:rPr>
        <w:t>C</w:t>
      </w:r>
      <w:r w:rsidRPr="00E54CE1">
        <w:rPr>
          <w:rFonts w:ascii="Times New Roman" w:hAnsi="Times New Roman" w:cs="Times New Roman"/>
          <w:i/>
          <w:iCs/>
          <w:vertAlign w:val="subscript"/>
          <w:lang w:val="en-GB"/>
        </w:rPr>
        <w:t>cr</w:t>
      </w:r>
      <w:proofErr w:type="spellEnd"/>
      <w:r w:rsidRPr="00E54CE1">
        <w:rPr>
          <w:rFonts w:ascii="Times New Roman" w:hAnsi="Times New Roman" w:cs="Times New Roman"/>
          <w:lang w:val="en-GB"/>
        </w:rPr>
        <w:t xml:space="preserve">, was computed, providing the ‘Analytical’ probability distribution of the initiation time illustrated in Fig. </w:t>
      </w:r>
      <w:r w:rsidR="00BF0D79">
        <w:rPr>
          <w:rFonts w:ascii="Times New Roman" w:hAnsi="Times New Roman" w:cs="Times New Roman"/>
          <w:lang w:val="en-GB"/>
        </w:rPr>
        <w:t>2</w:t>
      </w:r>
      <w:r w:rsidRPr="00E54CE1">
        <w:rPr>
          <w:rFonts w:ascii="Times New Roman" w:hAnsi="Times New Roman" w:cs="Times New Roman"/>
          <w:lang w:val="en-GB"/>
        </w:rPr>
        <w:t xml:space="preserve"> (</w:t>
      </w:r>
      <w:r>
        <w:rPr>
          <w:rFonts w:ascii="Times New Roman" w:hAnsi="Times New Roman" w:cs="Times New Roman"/>
          <w:lang w:val="en-GB"/>
        </w:rPr>
        <w:t>green</w:t>
      </w:r>
      <w:r w:rsidRPr="00E54CE1">
        <w:rPr>
          <w:rFonts w:ascii="Times New Roman" w:hAnsi="Times New Roman" w:cs="Times New Roman"/>
          <w:lang w:val="en-GB"/>
        </w:rPr>
        <w:t xml:space="preserve"> line). Consequent with its design criterion, it yields 5% probability of corrosion initiation at 120 years.</w:t>
      </w:r>
    </w:p>
    <w:p w14:paraId="23AD35C5" w14:textId="744190A6" w:rsidR="00720400" w:rsidRDefault="00720400" w:rsidP="00E307F2">
      <w:pPr>
        <w:spacing w:after="120"/>
        <w:jc w:val="both"/>
        <w:rPr>
          <w:rFonts w:ascii="Times New Roman" w:eastAsia="Times New Roman" w:hAnsi="Times New Roman" w:cs="Times New Roman"/>
          <w:lang w:val="en-GB"/>
        </w:rPr>
      </w:pPr>
      <m:oMath>
        <m:r>
          <w:rPr>
            <w:rFonts w:ascii="Cambria Math" w:hAnsi="Cambria Math" w:cs="Times New Roman"/>
            <w:lang w:val="en-GB"/>
          </w:rPr>
          <m:t>C</m:t>
        </m:r>
        <m:d>
          <m:dPr>
            <m:ctrlPr>
              <w:rPr>
                <w:rFonts w:ascii="Cambria Math" w:hAnsi="Cambria Math" w:cs="Times New Roman"/>
                <w:i/>
                <w:lang w:val="en-GB"/>
              </w:rPr>
            </m:ctrlPr>
          </m:dPr>
          <m:e>
            <m:r>
              <w:rPr>
                <w:rFonts w:ascii="Cambria Math" w:hAnsi="Cambria Math" w:cs="Times New Roman"/>
                <w:lang w:val="en-GB"/>
              </w:rPr>
              <m:t>x,t</m:t>
            </m:r>
          </m:e>
        </m:d>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0</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s</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0</m:t>
            </m:r>
          </m:sub>
        </m:sSub>
        <m:r>
          <w:rPr>
            <w:rFonts w:ascii="Cambria Math" w:hAnsi="Cambria Math" w:cs="Times New Roman"/>
            <w:lang w:val="en-GB"/>
          </w:rPr>
          <m:t>) .</m:t>
        </m:r>
        <m:d>
          <m:dPr>
            <m:begChr m:val="{"/>
            <m:endChr m:val="}"/>
            <m:ctrlPr>
              <w:rPr>
                <w:rFonts w:ascii="Cambria Math" w:hAnsi="Cambria Math" w:cs="Times New Roman"/>
                <w:i/>
                <w:lang w:val="en-GB"/>
              </w:rPr>
            </m:ctrlPr>
          </m:dPr>
          <m:e>
            <m:r>
              <w:rPr>
                <w:rFonts w:ascii="Cambria Math" w:hAnsi="Cambria Math" w:cs="Times New Roman"/>
                <w:lang w:val="en-GB"/>
              </w:rPr>
              <m:t>1-</m:t>
            </m:r>
            <m:r>
              <m:rPr>
                <m:sty m:val="p"/>
              </m:rPr>
              <w:rPr>
                <w:rFonts w:ascii="Cambria Math" w:hAnsi="Cambria Math" w:cs="Times New Roman"/>
                <w:lang w:val="en-GB"/>
              </w:rPr>
              <m:t>erf</m:t>
            </m:r>
            <m:d>
              <m:dPr>
                <m:begChr m:val="["/>
                <m:endChr m:val="]"/>
                <m:ctrlPr>
                  <w:rPr>
                    <w:rFonts w:ascii="Cambria Math" w:hAnsi="Cambria Math" w:cs="Times New Roman"/>
                    <w:i/>
                    <w:lang w:val="en-GB"/>
                  </w:rPr>
                </m:ctrlPr>
              </m:dPr>
              <m:e>
                <m:f>
                  <m:fPr>
                    <m:ctrlPr>
                      <w:rPr>
                        <w:rFonts w:ascii="Cambria Math" w:hAnsi="Cambria Math" w:cs="Times New Roman"/>
                        <w:i/>
                        <w:lang w:val="en-GB"/>
                      </w:rPr>
                    </m:ctrlPr>
                  </m:fPr>
                  <m:num>
                    <m:r>
                      <w:rPr>
                        <w:rFonts w:ascii="Cambria Math" w:hAnsi="Cambria Math" w:cs="Times New Roman"/>
                        <w:lang w:val="en-GB"/>
                      </w:rPr>
                      <m:t>x</m:t>
                    </m:r>
                  </m:num>
                  <m:den>
                    <m:r>
                      <w:rPr>
                        <w:rFonts w:ascii="Cambria Math" w:hAnsi="Cambria Math" w:cs="Times New Roman"/>
                        <w:lang w:val="en-GB"/>
                      </w:rPr>
                      <m:t>2</m:t>
                    </m:r>
                    <m:rad>
                      <m:radPr>
                        <m:degHide m:val="1"/>
                        <m:ctrlPr>
                          <w:rPr>
                            <w:rFonts w:ascii="Cambria Math" w:hAnsi="Cambria Math" w:cs="Times New Roman"/>
                            <w:i/>
                            <w:lang w:val="en-GB"/>
                          </w:rPr>
                        </m:ctrlPr>
                      </m:radPr>
                      <m:deg/>
                      <m:e>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o</m:t>
                            </m:r>
                          </m:sub>
                        </m:sSub>
                        <m:r>
                          <w:rPr>
                            <w:rFonts w:ascii="Cambria Math" w:hAnsi="Cambria Math" w:cs="Times New Roman"/>
                            <w:lang w:val="en-GB"/>
                          </w:rPr>
                          <m:t xml:space="preserve"> .</m:t>
                        </m:r>
                        <m:sSup>
                          <m:sSupPr>
                            <m:ctrlPr>
                              <w:rPr>
                                <w:rFonts w:ascii="Cambria Math" w:hAnsi="Cambria Math" w:cs="Times New Roman"/>
                                <w:i/>
                                <w:lang w:val="en-GB"/>
                              </w:rPr>
                            </m:ctrlPr>
                          </m:sSupPr>
                          <m:e>
                            <m:r>
                              <w:rPr>
                                <w:rFonts w:ascii="Cambria Math" w:hAnsi="Cambria Math" w:cs="Times New Roman"/>
                                <w:lang w:val="en-GB"/>
                              </w:rPr>
                              <m:t xml:space="preserve"> </m:t>
                            </m:r>
                            <m:d>
                              <m:dPr>
                                <m:ctrlPr>
                                  <w:rPr>
                                    <w:rFonts w:ascii="Cambria Math" w:hAnsi="Cambria Math" w:cs="Times New Roman"/>
                                    <w:i/>
                                    <w:lang w:val="en-GB"/>
                                  </w:rPr>
                                </m:ctrlPr>
                              </m:dPr>
                              <m:e>
                                <m:f>
                                  <m:fPr>
                                    <m:type m:val="lin"/>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t</m:t>
                                        </m:r>
                                      </m:e>
                                      <m:sub>
                                        <m:r>
                                          <w:rPr>
                                            <w:rFonts w:ascii="Cambria Math" w:hAnsi="Cambria Math" w:cs="Times New Roman"/>
                                            <w:lang w:val="en-GB"/>
                                          </w:rPr>
                                          <m:t>0</m:t>
                                        </m:r>
                                      </m:sub>
                                    </m:sSub>
                                  </m:num>
                                  <m:den>
                                    <m:r>
                                      <w:rPr>
                                        <w:rFonts w:ascii="Cambria Math" w:hAnsi="Cambria Math" w:cs="Times New Roman"/>
                                        <w:lang w:val="en-GB"/>
                                      </w:rPr>
                                      <m:t>t</m:t>
                                    </m:r>
                                  </m:den>
                                </m:f>
                              </m:e>
                            </m:d>
                          </m:e>
                          <m:sup>
                            <m:r>
                              <w:rPr>
                                <w:rFonts w:ascii="Cambria Math" w:hAnsi="Cambria Math" w:cs="Times New Roman"/>
                                <w:lang w:val="en-GB"/>
                              </w:rPr>
                              <m:t>n</m:t>
                            </m:r>
                          </m:sup>
                        </m:sSup>
                        <m:r>
                          <w:rPr>
                            <w:rFonts w:ascii="Cambria Math" w:hAnsi="Cambria Math" w:cs="Times New Roman"/>
                            <w:lang w:val="en-GB"/>
                          </w:rPr>
                          <m:t xml:space="preserve"> .  t</m:t>
                        </m:r>
                      </m:e>
                    </m:rad>
                  </m:den>
                </m:f>
              </m:e>
            </m:d>
            <m:r>
              <w:rPr>
                <w:rFonts w:ascii="Cambria Math" w:hAnsi="Cambria Math" w:cs="Times New Roman"/>
                <w:lang w:val="en-GB"/>
              </w:rPr>
              <m:t xml:space="preserve"> </m:t>
            </m:r>
          </m:e>
        </m:d>
      </m:oMath>
      <w:r w:rsidRPr="008253D7">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                                                                               (1)</w:t>
      </w:r>
    </w:p>
    <w:p w14:paraId="5FDE5379" w14:textId="07E4391C" w:rsidR="00720400" w:rsidRDefault="00720400" w:rsidP="00720400">
      <w:pPr>
        <w:rPr>
          <w:rFonts w:ascii="Times New Roman" w:hAnsi="Times New Roman" w:cs="Times New Roman"/>
          <w:lang w:val="en-GB" w:eastAsia="ja-JP"/>
        </w:rPr>
      </w:pPr>
      <w:r w:rsidRPr="008253D7">
        <w:rPr>
          <w:rFonts w:ascii="Times New Roman" w:eastAsia="Times New Roman" w:hAnsi="Times New Roman" w:cs="Times New Roman"/>
          <w:lang w:val="en-GB"/>
        </w:rPr>
        <w:t xml:space="preserve">The chloride-induced corrosion initiation time </w:t>
      </w:r>
      <w:proofErr w:type="spellStart"/>
      <w:r w:rsidRPr="008253D7">
        <w:rPr>
          <w:rFonts w:ascii="Times New Roman" w:hAnsi="Times New Roman" w:cs="Times New Roman"/>
          <w:i/>
          <w:iCs/>
          <w:lang w:val="en-GB" w:eastAsia="ja-JP"/>
        </w:rPr>
        <w:t>t</w:t>
      </w:r>
      <w:r w:rsidRPr="008253D7">
        <w:rPr>
          <w:rFonts w:ascii="Times New Roman" w:hAnsi="Times New Roman" w:cs="Times New Roman"/>
          <w:i/>
          <w:iCs/>
          <w:vertAlign w:val="subscript"/>
          <w:lang w:val="en-GB" w:eastAsia="ja-JP"/>
        </w:rPr>
        <w:t>i</w:t>
      </w:r>
      <w:proofErr w:type="spellEnd"/>
      <w:r w:rsidRPr="008253D7">
        <w:rPr>
          <w:rFonts w:ascii="Times New Roman" w:hAnsi="Times New Roman" w:cs="Times New Roman"/>
          <w:lang w:val="en-GB" w:eastAsia="ja-JP"/>
        </w:rPr>
        <w:t xml:space="preserve"> is reached when the chloride content at the location of the steel (</w:t>
      </w:r>
      <w:r w:rsidRPr="00720400">
        <w:rPr>
          <w:rFonts w:ascii="Times New Roman" w:hAnsi="Times New Roman" w:cs="Times New Roman"/>
          <w:i/>
          <w:iCs/>
          <w:lang w:val="en-GB" w:eastAsia="ja-JP"/>
        </w:rPr>
        <w:t>x</w:t>
      </w:r>
      <w:r>
        <w:rPr>
          <w:rFonts w:ascii="Times New Roman" w:hAnsi="Times New Roman" w:cs="Times New Roman"/>
          <w:lang w:val="en-GB" w:eastAsia="ja-JP"/>
        </w:rPr>
        <w:t xml:space="preserve"> = </w:t>
      </w:r>
      <w:r w:rsidRPr="008253D7">
        <w:rPr>
          <w:rFonts w:ascii="Times New Roman" w:hAnsi="Times New Roman" w:cs="Times New Roman"/>
          <w:i/>
          <w:iCs/>
          <w:lang w:val="en-GB" w:eastAsia="ja-JP"/>
        </w:rPr>
        <w:t>d</w:t>
      </w:r>
      <w:r w:rsidRPr="008253D7">
        <w:rPr>
          <w:rFonts w:ascii="Times New Roman" w:hAnsi="Times New Roman" w:cs="Times New Roman"/>
          <w:lang w:val="en-GB" w:eastAsia="ja-JP"/>
        </w:rPr>
        <w:t>) is</w:t>
      </w:r>
      <w:r>
        <w:rPr>
          <w:rFonts w:ascii="Times New Roman" w:hAnsi="Times New Roman" w:cs="Times New Roman"/>
          <w:lang w:val="en-GB" w:eastAsia="ja-JP"/>
        </w:rPr>
        <w:t>:</w:t>
      </w:r>
      <w:r w:rsidRPr="008253D7">
        <w:rPr>
          <w:rFonts w:ascii="Times New Roman" w:hAnsi="Times New Roman" w:cs="Times New Roman"/>
          <w:lang w:val="en-GB" w:eastAsia="ja-JP"/>
        </w:rPr>
        <w:t xml:space="preserve"> </w:t>
      </w:r>
    </w:p>
    <w:p w14:paraId="0E55B2C6" w14:textId="6066B944" w:rsidR="00720400" w:rsidRPr="008253D7" w:rsidRDefault="00720400" w:rsidP="00720400">
      <w:pPr>
        <w:rPr>
          <w:rFonts w:ascii="Times New Roman" w:hAnsi="Times New Roman" w:cs="Times New Roman"/>
          <w:lang w:val="en-GB" w:eastAsia="ja-JP"/>
        </w:rPr>
      </w:pPr>
      <w:proofErr w:type="gramStart"/>
      <w:r w:rsidRPr="008253D7">
        <w:rPr>
          <w:rFonts w:ascii="Times New Roman" w:hAnsi="Times New Roman" w:cs="Times New Roman"/>
          <w:i/>
          <w:iCs/>
          <w:lang w:val="en-GB" w:eastAsia="ja-JP"/>
        </w:rPr>
        <w:t>C(</w:t>
      </w:r>
      <w:proofErr w:type="gramEnd"/>
      <w:r w:rsidRPr="008253D7">
        <w:rPr>
          <w:rFonts w:ascii="Times New Roman" w:hAnsi="Times New Roman" w:cs="Times New Roman"/>
          <w:i/>
          <w:iCs/>
          <w:lang w:val="en-GB" w:eastAsia="ja-JP"/>
        </w:rPr>
        <w:t xml:space="preserve">d, </w:t>
      </w:r>
      <w:proofErr w:type="spellStart"/>
      <w:r w:rsidRPr="008253D7">
        <w:rPr>
          <w:rFonts w:ascii="Times New Roman" w:hAnsi="Times New Roman" w:cs="Times New Roman"/>
          <w:i/>
          <w:iCs/>
          <w:lang w:val="en-GB" w:eastAsia="ja-JP"/>
        </w:rPr>
        <w:t>t</w:t>
      </w:r>
      <w:r w:rsidRPr="008253D7">
        <w:rPr>
          <w:rFonts w:ascii="Times New Roman" w:hAnsi="Times New Roman" w:cs="Times New Roman"/>
          <w:i/>
          <w:iCs/>
          <w:vertAlign w:val="subscript"/>
          <w:lang w:val="en-GB" w:eastAsia="ja-JP"/>
        </w:rPr>
        <w:t>i</w:t>
      </w:r>
      <w:proofErr w:type="spellEnd"/>
      <w:r w:rsidRPr="008253D7">
        <w:rPr>
          <w:rFonts w:ascii="Times New Roman" w:hAnsi="Times New Roman" w:cs="Times New Roman"/>
          <w:lang w:val="en-GB" w:eastAsia="ja-JP"/>
        </w:rPr>
        <w:t xml:space="preserve">) = </w:t>
      </w:r>
      <w:proofErr w:type="spellStart"/>
      <w:r w:rsidRPr="008253D7">
        <w:rPr>
          <w:rFonts w:ascii="Times New Roman" w:hAnsi="Times New Roman" w:cs="Times New Roman"/>
          <w:i/>
          <w:iCs/>
          <w:lang w:val="en-GB" w:eastAsia="ja-JP"/>
        </w:rPr>
        <w:t>C</w:t>
      </w:r>
      <w:r w:rsidRPr="008253D7">
        <w:rPr>
          <w:rFonts w:ascii="Times New Roman" w:hAnsi="Times New Roman" w:cs="Times New Roman"/>
          <w:i/>
          <w:iCs/>
          <w:vertAlign w:val="subscript"/>
          <w:lang w:val="en-GB" w:eastAsia="ja-JP"/>
        </w:rPr>
        <w:t>cr</w:t>
      </w:r>
      <w:proofErr w:type="spellEnd"/>
      <w:r w:rsidRPr="008253D7">
        <w:rPr>
          <w:rFonts w:ascii="Times New Roman" w:hAnsi="Times New Roman" w:cs="Times New Roman"/>
          <w:lang w:val="en-GB" w:eastAsia="ja-JP"/>
        </w:rPr>
        <w:t xml:space="preserve">, </w:t>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r>
      <w:r w:rsidRPr="008253D7">
        <w:rPr>
          <w:rFonts w:ascii="Times New Roman" w:hAnsi="Times New Roman" w:cs="Times New Roman"/>
          <w:lang w:val="en-GB" w:eastAsia="ja-JP"/>
        </w:rPr>
        <w:tab/>
        <w:t xml:space="preserve">        (2)</w:t>
      </w:r>
    </w:p>
    <w:p w14:paraId="332378EF" w14:textId="64CF9429" w:rsidR="00E307F2" w:rsidRDefault="00E307F2" w:rsidP="00E307F2">
      <w:pPr>
        <w:spacing w:after="0"/>
        <w:jc w:val="center"/>
        <w:rPr>
          <w:rFonts w:ascii="Times New Roman" w:hAnsi="Times New Roman" w:cs="Times New Roman"/>
        </w:rPr>
      </w:pPr>
      <w:proofErr w:type="spellStart"/>
      <w:r w:rsidRPr="00E307F2">
        <w:rPr>
          <w:rFonts w:ascii="Times New Roman" w:hAnsi="Times New Roman" w:cs="Times New Roman"/>
        </w:rPr>
        <w:t>Table</w:t>
      </w:r>
      <w:proofErr w:type="spellEnd"/>
      <w:r w:rsidRPr="00E307F2">
        <w:rPr>
          <w:rFonts w:ascii="Times New Roman" w:hAnsi="Times New Roman" w:cs="Times New Roman"/>
        </w:rPr>
        <w:t xml:space="preserve"> </w:t>
      </w:r>
      <w:r w:rsidR="00BF0D79">
        <w:rPr>
          <w:rFonts w:ascii="Times New Roman" w:hAnsi="Times New Roman" w:cs="Times New Roman"/>
        </w:rPr>
        <w:t>2</w:t>
      </w:r>
      <w:r w:rsidRPr="00E307F2">
        <w:rPr>
          <w:rFonts w:ascii="Times New Roman" w:hAnsi="Times New Roman" w:cs="Times New Roman"/>
        </w:rPr>
        <w:t xml:space="preserve"> – </w:t>
      </w:r>
      <w:proofErr w:type="spellStart"/>
      <w:r w:rsidRPr="00E307F2">
        <w:rPr>
          <w:rFonts w:ascii="Times New Roman" w:hAnsi="Times New Roman" w:cs="Times New Roman"/>
        </w:rPr>
        <w:t>Variables</w:t>
      </w:r>
      <w:proofErr w:type="spellEnd"/>
      <w:r w:rsidRPr="00E307F2">
        <w:rPr>
          <w:rFonts w:ascii="Times New Roman" w:hAnsi="Times New Roman" w:cs="Times New Roman"/>
        </w:rPr>
        <w:t xml:space="preserve"> and </w:t>
      </w:r>
      <w:proofErr w:type="spellStart"/>
      <w:r w:rsidRPr="00E307F2">
        <w:rPr>
          <w:rFonts w:ascii="Times New Roman" w:hAnsi="Times New Roman" w:cs="Times New Roman"/>
        </w:rPr>
        <w:t>probability</w:t>
      </w:r>
      <w:proofErr w:type="spellEnd"/>
      <w:r w:rsidRPr="00E307F2">
        <w:rPr>
          <w:rFonts w:ascii="Times New Roman" w:hAnsi="Times New Roman" w:cs="Times New Roman"/>
        </w:rPr>
        <w:t xml:space="preserve"> </w:t>
      </w:r>
      <w:proofErr w:type="spellStart"/>
      <w:r w:rsidRPr="00E307F2">
        <w:rPr>
          <w:rFonts w:ascii="Times New Roman" w:hAnsi="Times New Roman" w:cs="Times New Roman"/>
        </w:rPr>
        <w:t>distributions</w:t>
      </w:r>
      <w:proofErr w:type="spellEnd"/>
      <w:r w:rsidRPr="00E307F2">
        <w:rPr>
          <w:rFonts w:ascii="Times New Roman" w:hAnsi="Times New Roman" w:cs="Times New Roman"/>
        </w:rPr>
        <w:t xml:space="preserve"> </w:t>
      </w:r>
      <w:proofErr w:type="spellStart"/>
      <w:r w:rsidRPr="00E307F2">
        <w:rPr>
          <w:rFonts w:ascii="Times New Roman" w:hAnsi="Times New Roman" w:cs="Times New Roman"/>
        </w:rPr>
        <w:t>used</w:t>
      </w:r>
      <w:proofErr w:type="spellEnd"/>
      <w:r w:rsidRPr="00E307F2">
        <w:rPr>
          <w:rFonts w:ascii="Times New Roman" w:hAnsi="Times New Roman" w:cs="Times New Roman"/>
        </w:rPr>
        <w:t xml:space="preserve"> for the </w:t>
      </w:r>
      <w:proofErr w:type="spellStart"/>
      <w:r w:rsidRPr="00E307F2">
        <w:rPr>
          <w:rFonts w:ascii="Times New Roman" w:hAnsi="Times New Roman" w:cs="Times New Roman"/>
        </w:rPr>
        <w:t>Analytical</w:t>
      </w:r>
      <w:proofErr w:type="spellEnd"/>
      <w:r w:rsidRPr="00E307F2">
        <w:rPr>
          <w:rFonts w:ascii="Times New Roman" w:hAnsi="Times New Roman" w:cs="Times New Roman"/>
        </w:rPr>
        <w:t xml:space="preserve"> service life </w:t>
      </w:r>
      <w:proofErr w:type="spellStart"/>
      <w:r w:rsidRPr="00E307F2">
        <w:rPr>
          <w:rFonts w:ascii="Times New Roman" w:hAnsi="Times New Roman" w:cs="Times New Roman"/>
        </w:rPr>
        <w:t>prediction</w:t>
      </w:r>
      <w:proofErr w:type="spellEnd"/>
    </w:p>
    <w:p w14:paraId="0A7BEA20" w14:textId="77777777" w:rsidR="00E307F2" w:rsidRPr="00E307F2" w:rsidRDefault="00E307F2" w:rsidP="00E307F2">
      <w:pPr>
        <w:spacing w:after="0"/>
        <w:jc w:val="center"/>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2978"/>
        <w:gridCol w:w="1417"/>
        <w:gridCol w:w="2126"/>
        <w:gridCol w:w="1616"/>
      </w:tblGrid>
      <w:tr w:rsidR="00E307F2" w:rsidRPr="00E307F2" w14:paraId="5AFBF89C" w14:textId="77777777" w:rsidTr="00D21395">
        <w:trPr>
          <w:jc w:val="center"/>
        </w:trPr>
        <w:tc>
          <w:tcPr>
            <w:tcW w:w="2978" w:type="dxa"/>
            <w:vAlign w:val="center"/>
          </w:tcPr>
          <w:p w14:paraId="72E33E04"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Variable</w:t>
            </w:r>
          </w:p>
        </w:tc>
        <w:tc>
          <w:tcPr>
            <w:tcW w:w="1417" w:type="dxa"/>
            <w:vAlign w:val="center"/>
          </w:tcPr>
          <w:p w14:paraId="12CF0D73"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Distribution</w:t>
            </w:r>
          </w:p>
        </w:tc>
        <w:tc>
          <w:tcPr>
            <w:tcW w:w="2126" w:type="dxa"/>
            <w:vAlign w:val="center"/>
          </w:tcPr>
          <w:p w14:paraId="2C43C12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Parameters</w:t>
            </w:r>
          </w:p>
        </w:tc>
        <w:tc>
          <w:tcPr>
            <w:tcW w:w="1616" w:type="dxa"/>
            <w:vAlign w:val="center"/>
          </w:tcPr>
          <w:p w14:paraId="3E54EC59"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Extrados values</w:t>
            </w:r>
          </w:p>
        </w:tc>
      </w:tr>
      <w:tr w:rsidR="00E307F2" w:rsidRPr="00E307F2" w14:paraId="3E3D4C35" w14:textId="77777777" w:rsidTr="00D21395">
        <w:trPr>
          <w:jc w:val="center"/>
        </w:trPr>
        <w:tc>
          <w:tcPr>
            <w:tcW w:w="2978" w:type="dxa"/>
            <w:vMerge w:val="restart"/>
            <w:vAlign w:val="center"/>
          </w:tcPr>
          <w:p w14:paraId="0F7D503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Initial Chloride Content</w:t>
            </w:r>
            <w:r w:rsidRPr="00E307F2">
              <w:rPr>
                <w:rFonts w:ascii="Times New Roman" w:hAnsi="Times New Roman"/>
                <w:sz w:val="22"/>
                <w:szCs w:val="22"/>
                <w:lang w:val="en-GB"/>
              </w:rPr>
              <w:br/>
              <w:t xml:space="preserve"> </w:t>
            </w:r>
            <w:r w:rsidRPr="00E307F2">
              <w:rPr>
                <w:rFonts w:ascii="Times New Roman" w:hAnsi="Times New Roman"/>
                <w:i/>
                <w:iCs/>
                <w:sz w:val="22"/>
                <w:szCs w:val="22"/>
                <w:lang w:val="en-GB"/>
              </w:rPr>
              <w:t>C</w:t>
            </w:r>
            <w:r w:rsidRPr="00E307F2">
              <w:rPr>
                <w:rFonts w:ascii="Times New Roman" w:hAnsi="Times New Roman"/>
                <w:i/>
                <w:iCs/>
                <w:sz w:val="22"/>
                <w:szCs w:val="22"/>
                <w:vertAlign w:val="subscript"/>
                <w:lang w:val="en-GB"/>
              </w:rPr>
              <w:t>0</w:t>
            </w:r>
          </w:p>
        </w:tc>
        <w:tc>
          <w:tcPr>
            <w:tcW w:w="1417" w:type="dxa"/>
            <w:vMerge w:val="restart"/>
            <w:vAlign w:val="center"/>
          </w:tcPr>
          <w:p w14:paraId="557A214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Rectangle</w:t>
            </w:r>
            <w:r w:rsidRPr="00E307F2">
              <w:rPr>
                <w:rFonts w:ascii="Times New Roman" w:hAnsi="Times New Roman"/>
                <w:sz w:val="22"/>
                <w:szCs w:val="22"/>
                <w:lang w:val="en-GB"/>
              </w:rPr>
              <w:br/>
              <w:t>(Uniform)</w:t>
            </w:r>
          </w:p>
        </w:tc>
        <w:tc>
          <w:tcPr>
            <w:tcW w:w="2126" w:type="dxa"/>
            <w:vAlign w:val="center"/>
          </w:tcPr>
          <w:p w14:paraId="495B3A1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Lower Limit (%)</w:t>
            </w:r>
          </w:p>
        </w:tc>
        <w:tc>
          <w:tcPr>
            <w:tcW w:w="1616" w:type="dxa"/>
            <w:vAlign w:val="center"/>
          </w:tcPr>
          <w:p w14:paraId="4BD179DF"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0.02</w:t>
            </w:r>
          </w:p>
        </w:tc>
      </w:tr>
      <w:tr w:rsidR="00E307F2" w:rsidRPr="00E307F2" w14:paraId="6890A3E7" w14:textId="77777777" w:rsidTr="00D21395">
        <w:trPr>
          <w:jc w:val="center"/>
        </w:trPr>
        <w:tc>
          <w:tcPr>
            <w:tcW w:w="2978" w:type="dxa"/>
            <w:vMerge/>
            <w:vAlign w:val="center"/>
          </w:tcPr>
          <w:p w14:paraId="50A1722E"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5CA64240"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71486E88"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Upper Limit (%)</w:t>
            </w:r>
          </w:p>
        </w:tc>
        <w:tc>
          <w:tcPr>
            <w:tcW w:w="1616" w:type="dxa"/>
            <w:vAlign w:val="center"/>
          </w:tcPr>
          <w:p w14:paraId="02C55D1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0.04</w:t>
            </w:r>
          </w:p>
        </w:tc>
      </w:tr>
      <w:tr w:rsidR="00E307F2" w:rsidRPr="00E307F2" w14:paraId="29C25002" w14:textId="77777777" w:rsidTr="00D21395">
        <w:trPr>
          <w:jc w:val="center"/>
        </w:trPr>
        <w:tc>
          <w:tcPr>
            <w:tcW w:w="2978" w:type="dxa"/>
            <w:vMerge w:val="restart"/>
            <w:vAlign w:val="center"/>
          </w:tcPr>
          <w:p w14:paraId="0FECB462"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Surface Chloride Content</w:t>
            </w:r>
            <w:r w:rsidRPr="00E307F2">
              <w:rPr>
                <w:rFonts w:ascii="Times New Roman" w:hAnsi="Times New Roman"/>
                <w:sz w:val="22"/>
                <w:szCs w:val="22"/>
                <w:lang w:val="en-GB"/>
              </w:rPr>
              <w:br/>
              <w:t xml:space="preserve"> </w:t>
            </w:r>
            <w:r w:rsidRPr="00E307F2">
              <w:rPr>
                <w:rFonts w:ascii="Times New Roman" w:hAnsi="Times New Roman"/>
                <w:i/>
                <w:iCs/>
                <w:sz w:val="22"/>
                <w:szCs w:val="22"/>
                <w:lang w:val="en-GB"/>
              </w:rPr>
              <w:t>C</w:t>
            </w:r>
            <w:r w:rsidRPr="00E307F2">
              <w:rPr>
                <w:rFonts w:ascii="Times New Roman" w:hAnsi="Times New Roman"/>
                <w:i/>
                <w:iCs/>
                <w:sz w:val="22"/>
                <w:szCs w:val="22"/>
                <w:vertAlign w:val="subscript"/>
                <w:lang w:val="en-GB"/>
              </w:rPr>
              <w:t>s</w:t>
            </w:r>
          </w:p>
        </w:tc>
        <w:tc>
          <w:tcPr>
            <w:tcW w:w="1417" w:type="dxa"/>
            <w:vMerge w:val="restart"/>
            <w:vAlign w:val="center"/>
          </w:tcPr>
          <w:p w14:paraId="06D0C77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Log-Normal</w:t>
            </w:r>
          </w:p>
        </w:tc>
        <w:tc>
          <w:tcPr>
            <w:tcW w:w="2126" w:type="dxa"/>
            <w:vAlign w:val="center"/>
          </w:tcPr>
          <w:p w14:paraId="12807B4B"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Average (%)</w:t>
            </w:r>
          </w:p>
        </w:tc>
        <w:tc>
          <w:tcPr>
            <w:tcW w:w="1616" w:type="dxa"/>
            <w:vAlign w:val="center"/>
          </w:tcPr>
          <w:p w14:paraId="6606B107"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5.76</w:t>
            </w:r>
          </w:p>
        </w:tc>
      </w:tr>
      <w:tr w:rsidR="00E307F2" w:rsidRPr="00E307F2" w14:paraId="7B1554FD" w14:textId="77777777" w:rsidTr="00D21395">
        <w:trPr>
          <w:jc w:val="center"/>
        </w:trPr>
        <w:tc>
          <w:tcPr>
            <w:tcW w:w="2978" w:type="dxa"/>
            <w:vMerge/>
            <w:vAlign w:val="center"/>
          </w:tcPr>
          <w:p w14:paraId="1E8416E0"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4C6E410D"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3CC279F9"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Std. Dev. (%)</w:t>
            </w:r>
          </w:p>
        </w:tc>
        <w:tc>
          <w:tcPr>
            <w:tcW w:w="1616" w:type="dxa"/>
            <w:vAlign w:val="center"/>
          </w:tcPr>
          <w:p w14:paraId="0BCE0EAA"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0.86</w:t>
            </w:r>
          </w:p>
        </w:tc>
      </w:tr>
      <w:tr w:rsidR="00E307F2" w:rsidRPr="00E307F2" w14:paraId="5471EE78" w14:textId="77777777" w:rsidTr="00D21395">
        <w:trPr>
          <w:jc w:val="center"/>
        </w:trPr>
        <w:tc>
          <w:tcPr>
            <w:tcW w:w="2978" w:type="dxa"/>
            <w:vMerge w:val="restart"/>
            <w:vAlign w:val="center"/>
          </w:tcPr>
          <w:p w14:paraId="7C6A67D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 xml:space="preserve">Critical Chloride Content </w:t>
            </w:r>
            <w:proofErr w:type="spellStart"/>
            <w:r w:rsidRPr="00E307F2">
              <w:rPr>
                <w:rFonts w:ascii="Times New Roman" w:hAnsi="Times New Roman"/>
                <w:i/>
                <w:iCs/>
                <w:sz w:val="22"/>
                <w:szCs w:val="22"/>
                <w:lang w:val="en-GB"/>
              </w:rPr>
              <w:t>C</w:t>
            </w:r>
            <w:r w:rsidRPr="00E307F2">
              <w:rPr>
                <w:rFonts w:ascii="Times New Roman" w:hAnsi="Times New Roman"/>
                <w:i/>
                <w:iCs/>
                <w:sz w:val="22"/>
                <w:szCs w:val="22"/>
                <w:vertAlign w:val="subscript"/>
                <w:lang w:val="en-GB"/>
              </w:rPr>
              <w:t>cr</w:t>
            </w:r>
            <w:proofErr w:type="spellEnd"/>
          </w:p>
        </w:tc>
        <w:tc>
          <w:tcPr>
            <w:tcW w:w="1417" w:type="dxa"/>
            <w:vMerge w:val="restart"/>
            <w:vAlign w:val="center"/>
          </w:tcPr>
          <w:p w14:paraId="191DAB26"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Beta</w:t>
            </w:r>
          </w:p>
        </w:tc>
        <w:tc>
          <w:tcPr>
            <w:tcW w:w="2126" w:type="dxa"/>
            <w:vAlign w:val="center"/>
          </w:tcPr>
          <w:p w14:paraId="223B8BC7"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Lower Bound L (%)</w:t>
            </w:r>
          </w:p>
        </w:tc>
        <w:tc>
          <w:tcPr>
            <w:tcW w:w="1616" w:type="dxa"/>
            <w:vAlign w:val="center"/>
          </w:tcPr>
          <w:p w14:paraId="616E02E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0.45</w:t>
            </w:r>
          </w:p>
        </w:tc>
      </w:tr>
      <w:tr w:rsidR="00E307F2" w:rsidRPr="00E307F2" w14:paraId="04C3CBA0" w14:textId="77777777" w:rsidTr="00D21395">
        <w:trPr>
          <w:jc w:val="center"/>
        </w:trPr>
        <w:tc>
          <w:tcPr>
            <w:tcW w:w="2978" w:type="dxa"/>
            <w:vMerge/>
            <w:vAlign w:val="center"/>
          </w:tcPr>
          <w:p w14:paraId="31D66549"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08F86662"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3C7C6E4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Upper Bound U (%)</w:t>
            </w:r>
          </w:p>
        </w:tc>
        <w:tc>
          <w:tcPr>
            <w:tcW w:w="1616" w:type="dxa"/>
            <w:vAlign w:val="center"/>
          </w:tcPr>
          <w:p w14:paraId="0CA082BA"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1.25</w:t>
            </w:r>
          </w:p>
        </w:tc>
      </w:tr>
      <w:tr w:rsidR="00E307F2" w:rsidRPr="00E307F2" w14:paraId="1BC6A1E5" w14:textId="77777777" w:rsidTr="00D21395">
        <w:trPr>
          <w:jc w:val="center"/>
        </w:trPr>
        <w:tc>
          <w:tcPr>
            <w:tcW w:w="2978" w:type="dxa"/>
            <w:vMerge/>
            <w:vAlign w:val="center"/>
          </w:tcPr>
          <w:p w14:paraId="6667797D"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2AAC8B60"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386BA8FC"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Coefficient α (-)</w:t>
            </w:r>
          </w:p>
        </w:tc>
        <w:tc>
          <w:tcPr>
            <w:tcW w:w="1616" w:type="dxa"/>
            <w:vAlign w:val="center"/>
          </w:tcPr>
          <w:p w14:paraId="153E8D7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0.22</w:t>
            </w:r>
          </w:p>
        </w:tc>
      </w:tr>
      <w:tr w:rsidR="00E307F2" w:rsidRPr="00E307F2" w14:paraId="16E52DA5" w14:textId="77777777" w:rsidTr="00D21395">
        <w:trPr>
          <w:jc w:val="center"/>
        </w:trPr>
        <w:tc>
          <w:tcPr>
            <w:tcW w:w="2978" w:type="dxa"/>
            <w:vMerge/>
            <w:vAlign w:val="center"/>
          </w:tcPr>
          <w:p w14:paraId="2E3D8B7C"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0A1CDDDB"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1077CAD1"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Coefficient β (-)</w:t>
            </w:r>
          </w:p>
        </w:tc>
        <w:tc>
          <w:tcPr>
            <w:tcW w:w="1616" w:type="dxa"/>
            <w:vAlign w:val="center"/>
          </w:tcPr>
          <w:p w14:paraId="5EAC6680"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0.36</w:t>
            </w:r>
          </w:p>
        </w:tc>
      </w:tr>
      <w:tr w:rsidR="00E307F2" w:rsidRPr="00E307F2" w14:paraId="0636CF74" w14:textId="77777777" w:rsidTr="00D21395">
        <w:trPr>
          <w:jc w:val="center"/>
        </w:trPr>
        <w:tc>
          <w:tcPr>
            <w:tcW w:w="2978" w:type="dxa"/>
            <w:vMerge w:val="restart"/>
            <w:vAlign w:val="center"/>
          </w:tcPr>
          <w:p w14:paraId="7114D10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 xml:space="preserve">Chloride Diffusion Coefficient </w:t>
            </w:r>
            <w:r w:rsidRPr="00E307F2">
              <w:rPr>
                <w:rFonts w:ascii="Times New Roman" w:hAnsi="Times New Roman"/>
                <w:sz w:val="22"/>
                <w:szCs w:val="22"/>
                <w:lang w:val="en-GB"/>
              </w:rPr>
              <w:br/>
              <w:t xml:space="preserve"> </w:t>
            </w:r>
            <w:r w:rsidRPr="00E307F2">
              <w:rPr>
                <w:rFonts w:ascii="Times New Roman" w:hAnsi="Times New Roman"/>
                <w:i/>
                <w:iCs/>
                <w:sz w:val="22"/>
                <w:szCs w:val="22"/>
                <w:lang w:val="en-GB"/>
              </w:rPr>
              <w:t>D</w:t>
            </w:r>
            <w:r w:rsidRPr="00E307F2">
              <w:rPr>
                <w:rFonts w:ascii="Times New Roman" w:hAnsi="Times New Roman"/>
                <w:i/>
                <w:iCs/>
                <w:sz w:val="22"/>
                <w:szCs w:val="22"/>
                <w:vertAlign w:val="subscript"/>
                <w:lang w:val="en-GB"/>
              </w:rPr>
              <w:t>0</w:t>
            </w:r>
            <w:r w:rsidRPr="00E307F2">
              <w:rPr>
                <w:rFonts w:ascii="Times New Roman" w:hAnsi="Times New Roman"/>
                <w:i/>
                <w:iCs/>
                <w:sz w:val="22"/>
                <w:szCs w:val="22"/>
                <w:lang w:val="en-GB"/>
              </w:rPr>
              <w:t xml:space="preserve"> </w:t>
            </w:r>
            <w:r w:rsidRPr="00E307F2">
              <w:rPr>
                <w:rFonts w:ascii="Times New Roman" w:hAnsi="Times New Roman"/>
                <w:sz w:val="22"/>
                <w:szCs w:val="22"/>
                <w:lang w:val="en-GB"/>
              </w:rPr>
              <w:t>(at 28 d.)</w:t>
            </w:r>
          </w:p>
        </w:tc>
        <w:tc>
          <w:tcPr>
            <w:tcW w:w="1417" w:type="dxa"/>
            <w:vMerge w:val="restart"/>
            <w:vAlign w:val="center"/>
          </w:tcPr>
          <w:p w14:paraId="46A4F62E"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Log-Normal</w:t>
            </w:r>
          </w:p>
        </w:tc>
        <w:tc>
          <w:tcPr>
            <w:tcW w:w="2126" w:type="dxa"/>
            <w:vAlign w:val="center"/>
          </w:tcPr>
          <w:p w14:paraId="4185125C"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Average (10</w:t>
            </w:r>
            <w:r w:rsidRPr="00E307F2">
              <w:rPr>
                <w:rFonts w:ascii="Times New Roman" w:hAnsi="Times New Roman"/>
                <w:sz w:val="22"/>
                <w:szCs w:val="22"/>
                <w:vertAlign w:val="superscript"/>
                <w:lang w:val="en-GB"/>
              </w:rPr>
              <w:t>-12</w:t>
            </w:r>
            <w:r w:rsidRPr="00E307F2">
              <w:rPr>
                <w:rFonts w:ascii="Times New Roman" w:hAnsi="Times New Roman"/>
                <w:sz w:val="22"/>
                <w:szCs w:val="22"/>
                <w:lang w:val="en-GB"/>
              </w:rPr>
              <w:t xml:space="preserve"> m²)</w:t>
            </w:r>
          </w:p>
        </w:tc>
        <w:tc>
          <w:tcPr>
            <w:tcW w:w="1616" w:type="dxa"/>
            <w:vAlign w:val="center"/>
          </w:tcPr>
          <w:p w14:paraId="291E307C"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4.71</w:t>
            </w:r>
          </w:p>
        </w:tc>
      </w:tr>
      <w:tr w:rsidR="00E307F2" w:rsidRPr="00E307F2" w14:paraId="371D9452" w14:textId="77777777" w:rsidTr="00D21395">
        <w:trPr>
          <w:jc w:val="center"/>
        </w:trPr>
        <w:tc>
          <w:tcPr>
            <w:tcW w:w="2978" w:type="dxa"/>
            <w:vMerge/>
            <w:vAlign w:val="center"/>
          </w:tcPr>
          <w:p w14:paraId="7FC156C6"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372AEEA1"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05116458" w14:textId="77777777" w:rsidR="00E307F2" w:rsidRPr="00E307F2" w:rsidRDefault="00E307F2" w:rsidP="00E307F2">
            <w:pPr>
              <w:spacing w:after="0"/>
              <w:jc w:val="center"/>
              <w:rPr>
                <w:rFonts w:ascii="Times New Roman" w:hAnsi="Times New Roman"/>
                <w:sz w:val="22"/>
                <w:szCs w:val="22"/>
                <w:lang w:val="en-GB"/>
              </w:rPr>
            </w:pPr>
            <w:proofErr w:type="spellStart"/>
            <w:r w:rsidRPr="00E307F2">
              <w:rPr>
                <w:rFonts w:ascii="Times New Roman" w:hAnsi="Times New Roman"/>
                <w:sz w:val="22"/>
                <w:szCs w:val="22"/>
                <w:lang w:val="en-GB"/>
              </w:rPr>
              <w:t>C.o.V.</w:t>
            </w:r>
            <w:proofErr w:type="spellEnd"/>
            <w:r w:rsidRPr="00E307F2">
              <w:rPr>
                <w:rFonts w:ascii="Times New Roman" w:hAnsi="Times New Roman"/>
                <w:sz w:val="22"/>
                <w:szCs w:val="22"/>
                <w:lang w:val="en-GB"/>
              </w:rPr>
              <w:t xml:space="preserve"> (%)</w:t>
            </w:r>
          </w:p>
        </w:tc>
        <w:tc>
          <w:tcPr>
            <w:tcW w:w="1616" w:type="dxa"/>
            <w:vAlign w:val="center"/>
          </w:tcPr>
          <w:p w14:paraId="07432CE2"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9.8</w:t>
            </w:r>
          </w:p>
        </w:tc>
      </w:tr>
      <w:tr w:rsidR="00E307F2" w:rsidRPr="00E307F2" w14:paraId="5A3C3C99" w14:textId="77777777" w:rsidTr="00D21395">
        <w:trPr>
          <w:jc w:val="center"/>
        </w:trPr>
        <w:tc>
          <w:tcPr>
            <w:tcW w:w="2978" w:type="dxa"/>
            <w:vMerge w:val="restart"/>
            <w:vAlign w:val="center"/>
          </w:tcPr>
          <w:p w14:paraId="04CFECC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Diffusion Decay Exponent</w:t>
            </w:r>
            <w:r w:rsidRPr="00E307F2">
              <w:rPr>
                <w:rFonts w:ascii="Times New Roman" w:hAnsi="Times New Roman"/>
                <w:sz w:val="22"/>
                <w:szCs w:val="22"/>
                <w:lang w:val="en-GB"/>
              </w:rPr>
              <w:br/>
              <w:t xml:space="preserve"> </w:t>
            </w:r>
            <w:r w:rsidRPr="00E307F2">
              <w:rPr>
                <w:rFonts w:ascii="Times New Roman" w:hAnsi="Times New Roman"/>
                <w:i/>
                <w:iCs/>
                <w:sz w:val="22"/>
                <w:szCs w:val="22"/>
                <w:lang w:val="en-GB"/>
              </w:rPr>
              <w:t>n</w:t>
            </w:r>
          </w:p>
        </w:tc>
        <w:tc>
          <w:tcPr>
            <w:tcW w:w="1417" w:type="dxa"/>
            <w:vMerge w:val="restart"/>
            <w:vAlign w:val="center"/>
          </w:tcPr>
          <w:p w14:paraId="37BC343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Normal</w:t>
            </w:r>
          </w:p>
        </w:tc>
        <w:tc>
          <w:tcPr>
            <w:tcW w:w="2126" w:type="dxa"/>
            <w:vAlign w:val="center"/>
          </w:tcPr>
          <w:p w14:paraId="4A2CD1B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Average (-)</w:t>
            </w:r>
          </w:p>
        </w:tc>
        <w:tc>
          <w:tcPr>
            <w:tcW w:w="1616" w:type="dxa"/>
            <w:vAlign w:val="center"/>
          </w:tcPr>
          <w:p w14:paraId="347727BD"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0.47</w:t>
            </w:r>
          </w:p>
        </w:tc>
      </w:tr>
      <w:tr w:rsidR="00E307F2" w:rsidRPr="00E307F2" w14:paraId="29132318" w14:textId="77777777" w:rsidTr="00D21395">
        <w:trPr>
          <w:jc w:val="center"/>
        </w:trPr>
        <w:tc>
          <w:tcPr>
            <w:tcW w:w="2978" w:type="dxa"/>
            <w:vMerge/>
            <w:vAlign w:val="center"/>
          </w:tcPr>
          <w:p w14:paraId="53EDA999"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5F9041A0"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3C32784F"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Std. Dev. (-)</w:t>
            </w:r>
          </w:p>
        </w:tc>
        <w:tc>
          <w:tcPr>
            <w:tcW w:w="1616" w:type="dxa"/>
            <w:vAlign w:val="center"/>
          </w:tcPr>
          <w:p w14:paraId="773E38BA"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0.029</w:t>
            </w:r>
          </w:p>
        </w:tc>
      </w:tr>
      <w:tr w:rsidR="00E307F2" w:rsidRPr="00E307F2" w14:paraId="2810B481" w14:textId="77777777" w:rsidTr="00D21395">
        <w:trPr>
          <w:jc w:val="center"/>
        </w:trPr>
        <w:tc>
          <w:tcPr>
            <w:tcW w:w="2978" w:type="dxa"/>
            <w:vMerge w:val="restart"/>
            <w:vAlign w:val="center"/>
          </w:tcPr>
          <w:p w14:paraId="5E361C5E" w14:textId="276D5C6C"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Cover Thickness</w:t>
            </w:r>
            <w:r w:rsidRPr="00E307F2">
              <w:rPr>
                <w:rFonts w:ascii="Times New Roman" w:hAnsi="Times New Roman"/>
                <w:sz w:val="22"/>
                <w:szCs w:val="22"/>
                <w:lang w:val="en-GB"/>
              </w:rPr>
              <w:br/>
            </w:r>
            <w:r w:rsidR="00720400">
              <w:rPr>
                <w:rFonts w:ascii="Times New Roman" w:hAnsi="Times New Roman"/>
                <w:i/>
                <w:iCs/>
                <w:sz w:val="22"/>
                <w:szCs w:val="22"/>
                <w:lang w:val="en-GB"/>
              </w:rPr>
              <w:t>d</w:t>
            </w:r>
          </w:p>
        </w:tc>
        <w:tc>
          <w:tcPr>
            <w:tcW w:w="1417" w:type="dxa"/>
            <w:vMerge w:val="restart"/>
            <w:vAlign w:val="center"/>
          </w:tcPr>
          <w:p w14:paraId="5CEB3B62"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Normal</w:t>
            </w:r>
          </w:p>
        </w:tc>
        <w:tc>
          <w:tcPr>
            <w:tcW w:w="2126" w:type="dxa"/>
            <w:vAlign w:val="center"/>
          </w:tcPr>
          <w:p w14:paraId="4751F46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Average (mm)</w:t>
            </w:r>
          </w:p>
        </w:tc>
        <w:tc>
          <w:tcPr>
            <w:tcW w:w="1616" w:type="dxa"/>
            <w:vAlign w:val="center"/>
          </w:tcPr>
          <w:p w14:paraId="2E199FB5"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73.4</w:t>
            </w:r>
          </w:p>
        </w:tc>
      </w:tr>
      <w:tr w:rsidR="00E307F2" w:rsidRPr="00E307F2" w14:paraId="7B85F3D3" w14:textId="77777777" w:rsidTr="00D21395">
        <w:trPr>
          <w:jc w:val="center"/>
        </w:trPr>
        <w:tc>
          <w:tcPr>
            <w:tcW w:w="2978" w:type="dxa"/>
            <w:vMerge/>
            <w:vAlign w:val="center"/>
          </w:tcPr>
          <w:p w14:paraId="23E972DC" w14:textId="77777777" w:rsidR="00E307F2" w:rsidRPr="00E307F2" w:rsidRDefault="00E307F2" w:rsidP="00E307F2">
            <w:pPr>
              <w:spacing w:after="0"/>
              <w:jc w:val="center"/>
              <w:rPr>
                <w:rFonts w:ascii="Times New Roman" w:hAnsi="Times New Roman"/>
                <w:sz w:val="22"/>
                <w:szCs w:val="22"/>
                <w:lang w:val="en-GB"/>
              </w:rPr>
            </w:pPr>
          </w:p>
        </w:tc>
        <w:tc>
          <w:tcPr>
            <w:tcW w:w="1417" w:type="dxa"/>
            <w:vMerge/>
            <w:vAlign w:val="center"/>
          </w:tcPr>
          <w:p w14:paraId="4DE82C07" w14:textId="77777777" w:rsidR="00E307F2" w:rsidRPr="00E307F2" w:rsidRDefault="00E307F2" w:rsidP="00E307F2">
            <w:pPr>
              <w:spacing w:after="0"/>
              <w:jc w:val="center"/>
              <w:rPr>
                <w:rFonts w:ascii="Times New Roman" w:hAnsi="Times New Roman"/>
                <w:sz w:val="22"/>
                <w:szCs w:val="22"/>
                <w:lang w:val="en-GB"/>
              </w:rPr>
            </w:pPr>
          </w:p>
        </w:tc>
        <w:tc>
          <w:tcPr>
            <w:tcW w:w="2126" w:type="dxa"/>
            <w:vAlign w:val="center"/>
          </w:tcPr>
          <w:p w14:paraId="5EEDD4AB"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Std. Dev. (mm)</w:t>
            </w:r>
          </w:p>
        </w:tc>
        <w:tc>
          <w:tcPr>
            <w:tcW w:w="1616" w:type="dxa"/>
            <w:vAlign w:val="center"/>
          </w:tcPr>
          <w:p w14:paraId="650492F0" w14:textId="77777777" w:rsidR="00E307F2" w:rsidRPr="00E307F2" w:rsidRDefault="00E307F2" w:rsidP="00E307F2">
            <w:pPr>
              <w:spacing w:after="0"/>
              <w:jc w:val="center"/>
              <w:rPr>
                <w:rFonts w:ascii="Times New Roman" w:hAnsi="Times New Roman"/>
                <w:sz w:val="22"/>
                <w:szCs w:val="22"/>
                <w:lang w:val="en-GB"/>
              </w:rPr>
            </w:pPr>
            <w:r w:rsidRPr="00E307F2">
              <w:rPr>
                <w:rFonts w:ascii="Times New Roman" w:hAnsi="Times New Roman"/>
                <w:sz w:val="22"/>
                <w:szCs w:val="22"/>
                <w:lang w:val="en-GB"/>
              </w:rPr>
              <w:t>3.9</w:t>
            </w:r>
          </w:p>
        </w:tc>
      </w:tr>
      <w:bookmarkEnd w:id="2"/>
    </w:tbl>
    <w:p w14:paraId="27FDD2C0" w14:textId="15A7BA86" w:rsidR="00E307F2" w:rsidRDefault="00E307F2" w:rsidP="00787A26">
      <w:pPr>
        <w:spacing w:after="120"/>
        <w:jc w:val="both"/>
        <w:rPr>
          <w:rFonts w:ascii="Times New Roman" w:hAnsi="Times New Roman" w:cs="Times New Roman"/>
          <w:lang w:val="en-GB"/>
        </w:rPr>
      </w:pPr>
    </w:p>
    <w:p w14:paraId="6E94A35D" w14:textId="67270384" w:rsidR="00720400" w:rsidRPr="00E54CE1" w:rsidRDefault="00720400" w:rsidP="00720400">
      <w:pPr>
        <w:spacing w:after="120"/>
        <w:jc w:val="both"/>
        <w:rPr>
          <w:rFonts w:ascii="Times New Roman" w:hAnsi="Times New Roman" w:cs="Times New Roman"/>
          <w:lang w:val="en-GB"/>
        </w:rPr>
      </w:pPr>
      <w:r w:rsidRPr="00E54CE1">
        <w:rPr>
          <w:rFonts w:ascii="Times New Roman" w:hAnsi="Times New Roman" w:cs="Times New Roman"/>
          <w:lang w:val="en-GB"/>
        </w:rPr>
        <w:t>In addition, during construction, the cover thickness was measured non-destructively applying the common midpoint (CMP) technique, based on transmitting an electromagnetic wave pulse and receiving the reflected waves from the steel bars by two adjacent antennas [</w:t>
      </w:r>
      <w:proofErr w:type="spellStart"/>
      <w:r w:rsidRPr="00E54CE1">
        <w:rPr>
          <w:rFonts w:ascii="Times New Roman" w:hAnsi="Times New Roman" w:cs="Times New Roman"/>
          <w:lang w:val="en-GB"/>
        </w:rPr>
        <w:t>Halabe</w:t>
      </w:r>
      <w:proofErr w:type="spellEnd"/>
      <w:r w:rsidRPr="00E54CE1">
        <w:rPr>
          <w:rFonts w:ascii="Times New Roman" w:hAnsi="Times New Roman" w:cs="Times New Roman"/>
          <w:lang w:val="en-GB"/>
        </w:rPr>
        <w:t xml:space="preserve"> et al. 1993]. The cover thickness was measured on 24 segments with a mean value of 73.4 mm and a standard deviation of 3.9 mm (used in the Analytical service life prediction), showing that ≈ 80% of the values exceeded the minimum cover of 70 mm, stipulated in Table </w:t>
      </w:r>
      <w:r w:rsidR="00BF0D79">
        <w:rPr>
          <w:rFonts w:ascii="Times New Roman" w:hAnsi="Times New Roman" w:cs="Times New Roman"/>
          <w:lang w:val="en-GB"/>
        </w:rPr>
        <w:t>1</w:t>
      </w:r>
      <w:r w:rsidRPr="00E54CE1">
        <w:rPr>
          <w:rFonts w:ascii="Times New Roman" w:hAnsi="Times New Roman" w:cs="Times New Roman"/>
          <w:lang w:val="en-GB"/>
        </w:rPr>
        <w:t xml:space="preserve"> [Li &amp; Torrent, 2016].</w:t>
      </w:r>
    </w:p>
    <w:p w14:paraId="5EAB597B" w14:textId="77777777" w:rsidR="00720400" w:rsidRDefault="00720400" w:rsidP="00787A26">
      <w:pPr>
        <w:spacing w:after="120"/>
        <w:jc w:val="both"/>
        <w:rPr>
          <w:rFonts w:ascii="Times New Roman" w:hAnsi="Times New Roman" w:cs="Times New Roman"/>
          <w:lang w:val="en-GB"/>
        </w:rPr>
      </w:pPr>
    </w:p>
    <w:p w14:paraId="2AA0DB34" w14:textId="374DDB81" w:rsidR="004D0EDC" w:rsidRDefault="00787A26" w:rsidP="00787A26">
      <w:pPr>
        <w:spacing w:after="120"/>
        <w:jc w:val="center"/>
        <w:rPr>
          <w:rFonts w:ascii="Times New Roman" w:hAnsi="Times New Roman" w:cs="Times New Roman"/>
          <w:lang w:val="en-GB"/>
        </w:rPr>
      </w:pPr>
      <w:r w:rsidRPr="00787A26">
        <w:lastRenderedPageBreak/>
        <w:drawing>
          <wp:inline distT="0" distB="0" distL="0" distR="0" wp14:anchorId="08E1523D" wp14:editId="2B4DC0FD">
            <wp:extent cx="4305300" cy="3047572"/>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1434" cy="3051914"/>
                    </a:xfrm>
                    <a:prstGeom prst="rect">
                      <a:avLst/>
                    </a:prstGeom>
                    <a:noFill/>
                    <a:ln>
                      <a:noFill/>
                    </a:ln>
                  </pic:spPr>
                </pic:pic>
              </a:graphicData>
            </a:graphic>
          </wp:inline>
        </w:drawing>
      </w:r>
    </w:p>
    <w:p w14:paraId="5FFE190E" w14:textId="5637103E" w:rsidR="004D0EDC" w:rsidRPr="004D0EDC" w:rsidRDefault="004D0EDC" w:rsidP="00B64325">
      <w:pPr>
        <w:spacing w:after="120"/>
        <w:jc w:val="center"/>
        <w:rPr>
          <w:rFonts w:ascii="Times New Roman" w:hAnsi="Times New Roman" w:cs="Times New Roman"/>
          <w:lang w:val="en-GB"/>
        </w:rPr>
      </w:pPr>
      <w:bookmarkStart w:id="4" w:name="_Hlk71198028"/>
      <w:r w:rsidRPr="004D0EDC">
        <w:rPr>
          <w:rFonts w:ascii="Times New Roman" w:hAnsi="Times New Roman" w:cs="Times New Roman"/>
          <w:lang w:val="en-GB"/>
        </w:rPr>
        <w:t xml:space="preserve">Fig. </w:t>
      </w:r>
      <w:r w:rsidR="00BF0D79">
        <w:rPr>
          <w:rFonts w:ascii="Times New Roman" w:hAnsi="Times New Roman" w:cs="Times New Roman"/>
          <w:lang w:val="en-GB"/>
        </w:rPr>
        <w:t>2</w:t>
      </w:r>
      <w:r w:rsidRPr="004D0EDC">
        <w:rPr>
          <w:rFonts w:ascii="Times New Roman" w:hAnsi="Times New Roman" w:cs="Times New Roman"/>
          <w:lang w:val="en-GB"/>
        </w:rPr>
        <w:t xml:space="preserve"> – Probability of occurrence of corrosion initiation time (Analytical and Exp-Ref predictions)</w:t>
      </w:r>
    </w:p>
    <w:bookmarkEnd w:id="4"/>
    <w:p w14:paraId="7DA08BD1" w14:textId="2E52EA74"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 xml:space="preserve">The air-permeability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of some segments (Case 1) was measured on 14 points at the age of 56 days, with a </w:t>
      </w:r>
      <w:proofErr w:type="spellStart"/>
      <w:r w:rsidRPr="00E54CE1">
        <w:rPr>
          <w:rFonts w:ascii="Times New Roman" w:hAnsi="Times New Roman" w:cs="Times New Roman"/>
          <w:i/>
          <w:iCs/>
          <w:lang w:val="en-GB"/>
        </w:rPr>
        <w:t>kT</w:t>
      </w:r>
      <w:r w:rsidRPr="00E54CE1">
        <w:rPr>
          <w:rFonts w:ascii="Times New Roman" w:hAnsi="Times New Roman" w:cs="Times New Roman"/>
          <w:i/>
          <w:iCs/>
          <w:vertAlign w:val="subscript"/>
          <w:lang w:val="en-GB"/>
        </w:rPr>
        <w:t>gm</w:t>
      </w:r>
      <w:proofErr w:type="spellEnd"/>
      <w:r w:rsidRPr="00E54CE1">
        <w:rPr>
          <w:rFonts w:ascii="Times New Roman" w:hAnsi="Times New Roman" w:cs="Times New Roman"/>
          <w:lang w:val="en-GB"/>
        </w:rPr>
        <w:t xml:space="preserve"> = 0.069</w:t>
      </w:r>
      <w:r w:rsidRPr="00E54CE1">
        <w:rPr>
          <w:rFonts w:ascii="Times New Roman" w:eastAsia="PMingLiU" w:hAnsi="Times New Roman" w:cs="Times New Roman"/>
          <w:lang w:val="en-GB" w:eastAsia="it-CH"/>
        </w:rPr>
        <w:t>×</w:t>
      </w:r>
      <w:r w:rsidRPr="00E54CE1">
        <w:rPr>
          <w:rFonts w:ascii="Times New Roman" w:hAnsi="Times New Roman" w:cs="Times New Roman"/>
          <w:lang w:val="en-GB"/>
        </w:rPr>
        <w:t>10</w:t>
      </w:r>
      <w:r w:rsidRPr="00E54CE1">
        <w:rPr>
          <w:rFonts w:ascii="Times New Roman" w:hAnsi="Times New Roman" w:cs="Times New Roman"/>
          <w:vertAlign w:val="superscript"/>
          <w:lang w:val="en-GB"/>
        </w:rPr>
        <w:t>-16</w:t>
      </w:r>
      <w:r w:rsidRPr="00E54CE1">
        <w:rPr>
          <w:rFonts w:ascii="Times New Roman" w:hAnsi="Times New Roman" w:cs="Times New Roman"/>
          <w:lang w:val="en-GB"/>
        </w:rPr>
        <w:t xml:space="preserve"> m² and </w:t>
      </w:r>
      <w:proofErr w:type="spellStart"/>
      <w:r w:rsidRPr="00E54CE1">
        <w:rPr>
          <w:rFonts w:ascii="Times New Roman" w:hAnsi="Times New Roman" w:cs="Times New Roman"/>
          <w:i/>
          <w:iCs/>
          <w:lang w:val="en-GB"/>
        </w:rPr>
        <w:t>s</w:t>
      </w:r>
      <w:r w:rsidRPr="00E54CE1">
        <w:rPr>
          <w:rFonts w:ascii="Times New Roman" w:hAnsi="Times New Roman" w:cs="Times New Roman"/>
          <w:i/>
          <w:iCs/>
          <w:vertAlign w:val="subscript"/>
          <w:lang w:val="en-GB"/>
        </w:rPr>
        <w:t>LOG</w:t>
      </w:r>
      <w:proofErr w:type="spellEnd"/>
      <w:r w:rsidRPr="00E54CE1">
        <w:rPr>
          <w:rFonts w:ascii="Times New Roman" w:hAnsi="Times New Roman" w:cs="Times New Roman"/>
          <w:lang w:val="en-GB"/>
        </w:rPr>
        <w:t xml:space="preserve"> = 0.18 [Li &amp; Torrent, 2016]. Another set of 15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results (Case 2) was reported in table 2 of [Wang et al, 2014] with </w:t>
      </w:r>
      <w:proofErr w:type="spellStart"/>
      <w:r w:rsidRPr="00E54CE1">
        <w:rPr>
          <w:rFonts w:ascii="Times New Roman" w:hAnsi="Times New Roman" w:cs="Times New Roman"/>
          <w:i/>
          <w:iCs/>
          <w:lang w:val="en-GB"/>
        </w:rPr>
        <w:t>kT</w:t>
      </w:r>
      <w:r w:rsidRPr="00E54CE1">
        <w:rPr>
          <w:rFonts w:ascii="Times New Roman" w:hAnsi="Times New Roman" w:cs="Times New Roman"/>
          <w:i/>
          <w:iCs/>
          <w:vertAlign w:val="subscript"/>
          <w:lang w:val="en-GB"/>
        </w:rPr>
        <w:t>gm</w:t>
      </w:r>
      <w:proofErr w:type="spellEnd"/>
      <w:r w:rsidRPr="00E54CE1">
        <w:rPr>
          <w:rFonts w:ascii="Times New Roman" w:hAnsi="Times New Roman" w:cs="Times New Roman"/>
          <w:lang w:val="en-GB"/>
        </w:rPr>
        <w:t xml:space="preserve"> = 0.022</w:t>
      </w:r>
      <w:r w:rsidRPr="00E54CE1">
        <w:rPr>
          <w:rFonts w:ascii="Times New Roman" w:eastAsia="PMingLiU" w:hAnsi="Times New Roman" w:cs="Times New Roman"/>
          <w:lang w:val="en-GB" w:eastAsia="it-CH"/>
        </w:rPr>
        <w:t>×</w:t>
      </w:r>
      <w:r w:rsidRPr="00E54CE1">
        <w:rPr>
          <w:rFonts w:ascii="Times New Roman" w:hAnsi="Times New Roman" w:cs="Times New Roman"/>
          <w:lang w:val="en-GB"/>
        </w:rPr>
        <w:t>10</w:t>
      </w:r>
      <w:r w:rsidRPr="00E54CE1">
        <w:rPr>
          <w:rFonts w:ascii="Times New Roman" w:hAnsi="Times New Roman" w:cs="Times New Roman"/>
          <w:vertAlign w:val="superscript"/>
          <w:lang w:val="en-GB"/>
        </w:rPr>
        <w:t>-16</w:t>
      </w:r>
      <w:r w:rsidRPr="00E54CE1">
        <w:rPr>
          <w:rFonts w:ascii="Times New Roman" w:hAnsi="Times New Roman" w:cs="Times New Roman"/>
          <w:lang w:val="en-GB"/>
        </w:rPr>
        <w:t xml:space="preserve"> m² and </w:t>
      </w:r>
      <w:proofErr w:type="spellStart"/>
      <w:r w:rsidRPr="00E54CE1">
        <w:rPr>
          <w:rFonts w:ascii="Times New Roman" w:hAnsi="Times New Roman" w:cs="Times New Roman"/>
          <w:i/>
          <w:iCs/>
          <w:lang w:val="en-GB"/>
        </w:rPr>
        <w:t>s</w:t>
      </w:r>
      <w:r w:rsidRPr="00E54CE1">
        <w:rPr>
          <w:rFonts w:ascii="Times New Roman" w:hAnsi="Times New Roman" w:cs="Times New Roman"/>
          <w:i/>
          <w:iCs/>
          <w:vertAlign w:val="subscript"/>
          <w:lang w:val="en-GB"/>
        </w:rPr>
        <w:t>LOG</w:t>
      </w:r>
      <w:proofErr w:type="spellEnd"/>
      <w:r w:rsidRPr="00E54CE1">
        <w:rPr>
          <w:rFonts w:ascii="Times New Roman" w:hAnsi="Times New Roman" w:cs="Times New Roman"/>
          <w:lang w:val="en-GB"/>
        </w:rPr>
        <w:t xml:space="preserve"> = 0.42. This set has a much lower central value </w:t>
      </w:r>
      <w:proofErr w:type="spellStart"/>
      <w:r w:rsidRPr="00E54CE1">
        <w:rPr>
          <w:rFonts w:ascii="Times New Roman" w:hAnsi="Times New Roman" w:cs="Times New Roman"/>
          <w:i/>
          <w:iCs/>
          <w:lang w:val="en-GB"/>
        </w:rPr>
        <w:t>kT</w:t>
      </w:r>
      <w:r w:rsidRPr="00E54CE1">
        <w:rPr>
          <w:rFonts w:ascii="Times New Roman" w:hAnsi="Times New Roman" w:cs="Times New Roman"/>
          <w:i/>
          <w:iCs/>
          <w:vertAlign w:val="subscript"/>
          <w:lang w:val="en-GB"/>
        </w:rPr>
        <w:t>gm</w:t>
      </w:r>
      <w:proofErr w:type="spellEnd"/>
      <w:r w:rsidRPr="00E54CE1">
        <w:rPr>
          <w:rFonts w:ascii="Times New Roman" w:hAnsi="Times New Roman" w:cs="Times New Roman"/>
          <w:lang w:val="en-GB"/>
        </w:rPr>
        <w:t xml:space="preserve"> and larger scatter </w:t>
      </w:r>
      <w:proofErr w:type="spellStart"/>
      <w:r w:rsidRPr="00E54CE1">
        <w:rPr>
          <w:rFonts w:ascii="Times New Roman" w:hAnsi="Times New Roman" w:cs="Times New Roman"/>
          <w:i/>
          <w:iCs/>
          <w:lang w:val="en-GB"/>
        </w:rPr>
        <w:t>s</w:t>
      </w:r>
      <w:r w:rsidRPr="00E54CE1">
        <w:rPr>
          <w:rFonts w:ascii="Times New Roman" w:hAnsi="Times New Roman" w:cs="Times New Roman"/>
          <w:i/>
          <w:iCs/>
          <w:vertAlign w:val="subscript"/>
          <w:lang w:val="en-GB"/>
        </w:rPr>
        <w:t>LOG</w:t>
      </w:r>
      <w:proofErr w:type="spellEnd"/>
      <w:r w:rsidRPr="00E54CE1">
        <w:rPr>
          <w:rFonts w:ascii="Times New Roman" w:hAnsi="Times New Roman" w:cs="Times New Roman"/>
          <w:lang w:val="en-GB"/>
        </w:rPr>
        <w:t xml:space="preserve"> than for Case 1.</w:t>
      </w:r>
      <w:r w:rsidR="00BF0D79">
        <w:rPr>
          <w:rFonts w:ascii="Times New Roman" w:hAnsi="Times New Roman" w:cs="Times New Roman"/>
          <w:lang w:val="en-GB"/>
        </w:rPr>
        <w:t xml:space="preserve"> </w:t>
      </w:r>
      <w:proofErr w:type="spellStart"/>
      <w:r w:rsidR="00BF0D79" w:rsidRPr="00E54CE1">
        <w:rPr>
          <w:rFonts w:ascii="Times New Roman" w:hAnsi="Times New Roman" w:cs="Times New Roman"/>
          <w:i/>
          <w:iCs/>
          <w:lang w:val="en-GB"/>
        </w:rPr>
        <w:t>s</w:t>
      </w:r>
      <w:r w:rsidR="00BF0D79" w:rsidRPr="00E54CE1">
        <w:rPr>
          <w:rFonts w:ascii="Times New Roman" w:hAnsi="Times New Roman" w:cs="Times New Roman"/>
          <w:i/>
          <w:iCs/>
          <w:vertAlign w:val="subscript"/>
          <w:lang w:val="en-GB"/>
        </w:rPr>
        <w:t>LOG</w:t>
      </w:r>
      <w:proofErr w:type="spellEnd"/>
      <w:r w:rsidR="00BF0D79" w:rsidRPr="00E54CE1">
        <w:rPr>
          <w:rFonts w:ascii="Times New Roman" w:hAnsi="Times New Roman" w:cs="Times New Roman"/>
          <w:lang w:val="en-GB"/>
        </w:rPr>
        <w:t xml:space="preserve"> </w:t>
      </w:r>
      <w:r w:rsidR="00BF0D79">
        <w:rPr>
          <w:rFonts w:ascii="Times New Roman" w:hAnsi="Times New Roman" w:cs="Times New Roman"/>
          <w:lang w:val="en-GB"/>
        </w:rPr>
        <w:t xml:space="preserve">is the standard deviation of the </w:t>
      </w:r>
      <w:r w:rsidR="00B64325">
        <w:rPr>
          <w:rFonts w:ascii="Times New Roman" w:hAnsi="Times New Roman" w:cs="Times New Roman"/>
          <w:lang w:val="en-GB"/>
        </w:rPr>
        <w:t xml:space="preserve">decimal logarithms of </w:t>
      </w:r>
      <w:proofErr w:type="spellStart"/>
      <w:r w:rsidR="00B64325" w:rsidRPr="00B64325">
        <w:rPr>
          <w:rFonts w:ascii="Times New Roman" w:hAnsi="Times New Roman" w:cs="Times New Roman"/>
          <w:i/>
          <w:iCs/>
          <w:lang w:val="en-GB"/>
        </w:rPr>
        <w:t>kT</w:t>
      </w:r>
      <w:r w:rsidR="00B64325">
        <w:rPr>
          <w:rFonts w:ascii="Times New Roman" w:hAnsi="Times New Roman" w:cs="Times New Roman"/>
          <w:lang w:val="en-GB"/>
        </w:rPr>
        <w:t>.</w:t>
      </w:r>
      <w:proofErr w:type="spellEnd"/>
    </w:p>
    <w:p w14:paraId="1320CD9C" w14:textId="0782F7AE" w:rsidR="00787A26" w:rsidRDefault="00787A26" w:rsidP="00787A26">
      <w:pPr>
        <w:spacing w:after="120"/>
        <w:jc w:val="both"/>
        <w:rPr>
          <w:rFonts w:ascii="Times New Roman" w:hAnsi="Times New Roman" w:cs="Times New Roman"/>
          <w:lang w:val="en-GB"/>
        </w:rPr>
      </w:pPr>
      <w:r w:rsidRPr="00D63BCA">
        <w:rPr>
          <w:rFonts w:ascii="Times New Roman" w:hAnsi="Times New Roman" w:cs="Times New Roman"/>
          <w:lang w:val="en-GB"/>
        </w:rPr>
        <w:t>The ‘Exp-Ref’ model</w:t>
      </w:r>
      <w:r w:rsidR="00B773A8">
        <w:rPr>
          <w:rFonts w:ascii="Times New Roman" w:hAnsi="Times New Roman" w:cs="Times New Roman"/>
          <w:lang w:val="en-GB"/>
        </w:rPr>
        <w:t xml:space="preserve"> for chloride-induced corrosion</w:t>
      </w:r>
      <w:r w:rsidR="00D63BCA" w:rsidRPr="00D63BCA">
        <w:rPr>
          <w:rFonts w:ascii="Times New Roman" w:hAnsi="Times New Roman" w:cs="Times New Roman"/>
          <w:lang w:val="en-GB"/>
        </w:rPr>
        <w:t xml:space="preserve"> [Torrent, 2013, 2015]</w:t>
      </w:r>
      <w:r w:rsidRPr="00D63BCA">
        <w:rPr>
          <w:rFonts w:ascii="Times New Roman" w:hAnsi="Times New Roman" w:cs="Times New Roman"/>
          <w:lang w:val="en-GB"/>
        </w:rPr>
        <w:t>, expressed</w:t>
      </w:r>
      <w:r w:rsidRPr="00E54CE1">
        <w:rPr>
          <w:rFonts w:ascii="Times New Roman" w:hAnsi="Times New Roman" w:cs="Times New Roman"/>
          <w:lang w:val="en-GB"/>
        </w:rPr>
        <w:t xml:space="preserve"> by Eq. </w:t>
      </w:r>
      <w:r w:rsidR="00D63BCA">
        <w:rPr>
          <w:rFonts w:ascii="Times New Roman" w:hAnsi="Times New Roman" w:cs="Times New Roman"/>
          <w:lang w:val="en-GB"/>
        </w:rPr>
        <w:t>3</w:t>
      </w:r>
      <w:r w:rsidRPr="00E54CE1">
        <w:rPr>
          <w:rFonts w:ascii="Times New Roman" w:hAnsi="Times New Roman" w:cs="Times New Roman"/>
          <w:lang w:val="en-GB"/>
        </w:rPr>
        <w:t xml:space="preserve">, was applied to estimate the corrosion initiation time, using the Monte Carlo simulation method, assuming that </w:t>
      </w:r>
      <w:r w:rsidRPr="00E54CE1">
        <w:rPr>
          <w:rFonts w:ascii="Times New Roman" w:hAnsi="Times New Roman" w:cs="Times New Roman"/>
          <w:i/>
          <w:iCs/>
          <w:lang w:val="en-GB"/>
        </w:rPr>
        <w:t>d</w:t>
      </w:r>
      <w:r w:rsidRPr="00E54CE1">
        <w:rPr>
          <w:rFonts w:ascii="Times New Roman" w:hAnsi="Times New Roman" w:cs="Times New Roman"/>
          <w:lang w:val="en-GB"/>
        </w:rPr>
        <w:t xml:space="preserve"> and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have the distributions and parameters shown in Table </w:t>
      </w:r>
      <w:r w:rsidR="00BF0D79">
        <w:rPr>
          <w:rFonts w:ascii="Times New Roman" w:hAnsi="Times New Roman" w:cs="Times New Roman"/>
          <w:lang w:val="en-GB"/>
        </w:rPr>
        <w:t>3</w:t>
      </w:r>
      <w:r w:rsidRPr="00E54CE1">
        <w:rPr>
          <w:rFonts w:ascii="Times New Roman" w:hAnsi="Times New Roman" w:cs="Times New Roman"/>
          <w:lang w:val="en-GB"/>
        </w:rPr>
        <w:t xml:space="preserve">. A value of 0.0104 was assigned to parameter </w:t>
      </w:r>
      <w:r w:rsidRPr="00E54CE1">
        <w:rPr>
          <w:rFonts w:ascii="Times New Roman" w:hAnsi="Times New Roman" w:cs="Times New Roman"/>
        </w:rPr>
        <w:t>α</w:t>
      </w:r>
      <w:r w:rsidRPr="00E54CE1">
        <w:rPr>
          <w:rFonts w:ascii="Times New Roman" w:hAnsi="Times New Roman" w:cs="Times New Roman"/>
          <w:lang w:val="en-GB"/>
        </w:rPr>
        <w:t>, corresponding to exposure class XS2 (submerged elements).</w:t>
      </w:r>
    </w:p>
    <w:p w14:paraId="3AF43A80" w14:textId="31CBCA14" w:rsidR="00D63BCA" w:rsidRPr="008253D7" w:rsidRDefault="00D63BCA" w:rsidP="00D63BCA">
      <w:pPr>
        <w:jc w:val="both"/>
        <w:rPr>
          <w:rFonts w:ascii="Times New Roman" w:eastAsia="Times New Roman" w:hAnsi="Times New Roman" w:cs="Times New Roman"/>
          <w:lang w:val="en-GB"/>
        </w:rPr>
      </w:pPr>
      <m:oMath>
        <m:sSub>
          <m:sSubPr>
            <m:ctrlPr>
              <w:rPr>
                <w:rFonts w:ascii="Cambria Math" w:eastAsia="Times New Roman" w:hAnsi="Cambria Math" w:cs="Times New Roman"/>
                <w:i/>
                <w:lang w:val="en-GB"/>
              </w:rPr>
            </m:ctrlPr>
          </m:sSubPr>
          <m:e>
            <m:r>
              <w:rPr>
                <w:rFonts w:ascii="Cambria Math" w:eastAsia="Times New Roman" w:hAnsi="Cambria Math" w:cs="Times New Roman"/>
                <w:lang w:val="en-GB"/>
              </w:rPr>
              <m:t>t</m:t>
            </m:r>
          </m:e>
          <m:sub>
            <m:r>
              <w:rPr>
                <w:rFonts w:ascii="Cambria Math" w:eastAsia="Times New Roman" w:hAnsi="Cambria Math" w:cs="Times New Roman"/>
                <w:lang w:val="en-GB"/>
              </w:rPr>
              <m:t>SL</m:t>
            </m:r>
          </m:sub>
        </m:sSub>
        <m:r>
          <w:rPr>
            <w:rFonts w:ascii="Cambria Math" w:eastAsia="Times New Roman" w:hAnsi="Cambria Math" w:cs="Times New Roman"/>
            <w:lang w:val="en-GB"/>
          </w:rPr>
          <m:t xml:space="preserve">= ∝ </m:t>
        </m:r>
        <m:f>
          <m:fPr>
            <m:ctrlPr>
              <w:rPr>
                <w:rFonts w:ascii="Cambria Math" w:eastAsia="Times New Roman" w:hAnsi="Cambria Math" w:cs="Times New Roman"/>
                <w:i/>
                <w:lang w:val="en-GB"/>
              </w:rPr>
            </m:ctrlPr>
          </m:fPr>
          <m:num>
            <m:sSup>
              <m:sSupPr>
                <m:ctrlPr>
                  <w:rPr>
                    <w:rFonts w:ascii="Cambria Math" w:eastAsia="Times New Roman" w:hAnsi="Cambria Math" w:cs="Times New Roman"/>
                    <w:i/>
                    <w:lang w:val="en-GB"/>
                  </w:rPr>
                </m:ctrlPr>
              </m:sSupPr>
              <m:e>
                <m:r>
                  <w:rPr>
                    <w:rFonts w:ascii="Cambria Math" w:eastAsia="Times New Roman" w:hAnsi="Cambria Math" w:cs="Times New Roman"/>
                    <w:lang w:val="en-GB"/>
                  </w:rPr>
                  <m:t>d</m:t>
                </m:r>
              </m:e>
              <m:sup>
                <m:r>
                  <w:rPr>
                    <w:rFonts w:ascii="Cambria Math" w:eastAsia="Times New Roman" w:hAnsi="Cambria Math" w:cs="Times New Roman"/>
                    <w:lang w:val="en-GB"/>
                  </w:rPr>
                  <m:t>2</m:t>
                </m:r>
              </m:sup>
            </m:sSup>
          </m:num>
          <m:den>
            <m:rad>
              <m:radPr>
                <m:ctrlPr>
                  <w:rPr>
                    <w:rFonts w:ascii="Cambria Math" w:eastAsia="Times New Roman" w:hAnsi="Cambria Math" w:cs="Times New Roman"/>
                    <w:i/>
                    <w:lang w:val="en-GB"/>
                  </w:rPr>
                </m:ctrlPr>
              </m:radPr>
              <m:deg>
                <m:r>
                  <w:rPr>
                    <w:rFonts w:ascii="Cambria Math" w:eastAsia="Times New Roman" w:hAnsi="Cambria Math" w:cs="Times New Roman"/>
                    <w:lang w:val="en-GB"/>
                  </w:rPr>
                  <m:t>3</m:t>
                </m:r>
              </m:deg>
              <m:e>
                <m:r>
                  <w:rPr>
                    <w:rFonts w:ascii="Cambria Math" w:eastAsia="Times New Roman" w:hAnsi="Cambria Math" w:cs="Times New Roman"/>
                    <w:lang w:val="en-GB"/>
                  </w:rPr>
                  <m:t>kT</m:t>
                </m:r>
              </m:e>
            </m:rad>
          </m:den>
        </m:f>
      </m:oMath>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i/>
          <w:iCs/>
          <w:lang w:val="en-GB"/>
        </w:rPr>
        <w:t>d</w:t>
      </w:r>
      <w:r w:rsidRPr="008253D7">
        <w:rPr>
          <w:rFonts w:ascii="Times New Roman" w:eastAsia="Times New Roman" w:hAnsi="Times New Roman" w:cs="Times New Roman"/>
          <w:lang w:val="en-GB"/>
        </w:rPr>
        <w:t xml:space="preserve"> (mm); </w:t>
      </w:r>
      <w:proofErr w:type="spellStart"/>
      <w:r w:rsidRPr="008253D7">
        <w:rPr>
          <w:rFonts w:ascii="Times New Roman" w:eastAsia="Times New Roman" w:hAnsi="Times New Roman" w:cs="Times New Roman"/>
          <w:i/>
          <w:iCs/>
          <w:lang w:val="en-GB"/>
        </w:rPr>
        <w:t>kT</w:t>
      </w:r>
      <w:proofErr w:type="spellEnd"/>
      <w:r w:rsidRPr="008253D7">
        <w:rPr>
          <w:rFonts w:ascii="Times New Roman" w:eastAsia="Times New Roman" w:hAnsi="Times New Roman" w:cs="Times New Roman"/>
          <w:lang w:val="en-GB"/>
        </w:rPr>
        <w:t xml:space="preserve"> (10</w:t>
      </w:r>
      <w:r w:rsidRPr="008253D7">
        <w:rPr>
          <w:rFonts w:ascii="Times New Roman" w:eastAsia="Times New Roman" w:hAnsi="Times New Roman" w:cs="Times New Roman"/>
          <w:vertAlign w:val="superscript"/>
          <w:lang w:val="en-GB"/>
        </w:rPr>
        <w:t>-16</w:t>
      </w:r>
      <w:r w:rsidRPr="008253D7">
        <w:rPr>
          <w:rFonts w:ascii="Times New Roman" w:eastAsia="Times New Roman" w:hAnsi="Times New Roman" w:cs="Times New Roman"/>
          <w:lang w:val="en-GB"/>
        </w:rPr>
        <w:t xml:space="preserve"> m²)</w:t>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r>
      <w:r w:rsidRPr="008253D7">
        <w:rPr>
          <w:rFonts w:ascii="Times New Roman" w:eastAsia="Times New Roman" w:hAnsi="Times New Roman" w:cs="Times New Roman"/>
          <w:lang w:val="en-GB"/>
        </w:rPr>
        <w:tab/>
        <w:t xml:space="preserve">   </w:t>
      </w:r>
      <w:r>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 xml:space="preserve">  </w:t>
      </w:r>
      <w:r w:rsidRPr="008253D7">
        <w:rPr>
          <w:rFonts w:ascii="Times New Roman" w:eastAsia="Times New Roman" w:hAnsi="Times New Roman" w:cs="Times New Roman"/>
          <w:lang w:val="en-GB"/>
        </w:rPr>
        <w:t xml:space="preserve"> </w:t>
      </w:r>
      <w:r>
        <w:rPr>
          <w:rFonts w:ascii="Times New Roman" w:eastAsia="Times New Roman" w:hAnsi="Times New Roman" w:cs="Times New Roman"/>
          <w:lang w:val="en-GB"/>
        </w:rPr>
        <w:t>(</w:t>
      </w:r>
      <w:proofErr w:type="gramEnd"/>
      <w:r w:rsidRPr="008253D7">
        <w:rPr>
          <w:rFonts w:ascii="Times New Roman" w:eastAsia="Times New Roman" w:hAnsi="Times New Roman" w:cs="Times New Roman"/>
          <w:lang w:val="en-GB"/>
        </w:rPr>
        <w:t>3)</w:t>
      </w:r>
    </w:p>
    <w:p w14:paraId="7F6812B4" w14:textId="77777777" w:rsidR="00D63BCA" w:rsidRDefault="00D63BCA" w:rsidP="00D63BCA">
      <w:pPr>
        <w:spacing w:after="0"/>
        <w:jc w:val="center"/>
        <w:rPr>
          <w:rFonts w:ascii="Times New Roman" w:hAnsi="Times New Roman" w:cs="Times New Roman"/>
        </w:rPr>
      </w:pPr>
    </w:p>
    <w:p w14:paraId="6CCABFF7" w14:textId="18969133" w:rsidR="00D63BCA" w:rsidRPr="00D63BCA" w:rsidRDefault="00D63BCA" w:rsidP="00D63BCA">
      <w:pPr>
        <w:spacing w:after="0"/>
        <w:jc w:val="center"/>
        <w:rPr>
          <w:rFonts w:ascii="Times New Roman" w:hAnsi="Times New Roman" w:cs="Times New Roman"/>
        </w:rPr>
      </w:pPr>
      <w:proofErr w:type="spellStart"/>
      <w:r w:rsidRPr="00D63BCA">
        <w:rPr>
          <w:rFonts w:ascii="Times New Roman" w:hAnsi="Times New Roman" w:cs="Times New Roman"/>
        </w:rPr>
        <w:t>Table</w:t>
      </w:r>
      <w:proofErr w:type="spellEnd"/>
      <w:r w:rsidRPr="00D63BCA">
        <w:rPr>
          <w:rFonts w:ascii="Times New Roman" w:hAnsi="Times New Roman" w:cs="Times New Roman"/>
        </w:rPr>
        <w:t xml:space="preserve"> </w:t>
      </w:r>
      <w:r w:rsidR="00BF0D79">
        <w:rPr>
          <w:rFonts w:ascii="Times New Roman" w:hAnsi="Times New Roman" w:cs="Times New Roman"/>
        </w:rPr>
        <w:t>3</w:t>
      </w:r>
      <w:r w:rsidRPr="00D63BCA">
        <w:rPr>
          <w:rFonts w:ascii="Times New Roman" w:hAnsi="Times New Roman" w:cs="Times New Roman"/>
        </w:rPr>
        <w:t xml:space="preserve"> - </w:t>
      </w:r>
      <w:proofErr w:type="spellStart"/>
      <w:r w:rsidRPr="00D63BCA">
        <w:rPr>
          <w:rFonts w:ascii="Times New Roman" w:hAnsi="Times New Roman" w:cs="Times New Roman"/>
        </w:rPr>
        <w:t>Variables</w:t>
      </w:r>
      <w:proofErr w:type="spellEnd"/>
      <w:r w:rsidRPr="00D63BCA">
        <w:rPr>
          <w:rFonts w:ascii="Times New Roman" w:hAnsi="Times New Roman" w:cs="Times New Roman"/>
        </w:rPr>
        <w:t xml:space="preserve"> and </w:t>
      </w:r>
      <w:proofErr w:type="spellStart"/>
      <w:r w:rsidRPr="00D63BCA">
        <w:rPr>
          <w:rFonts w:ascii="Times New Roman" w:hAnsi="Times New Roman" w:cs="Times New Roman"/>
        </w:rPr>
        <w:t>probability</w:t>
      </w:r>
      <w:proofErr w:type="spellEnd"/>
      <w:r w:rsidRPr="00D63BCA">
        <w:rPr>
          <w:rFonts w:ascii="Times New Roman" w:hAnsi="Times New Roman" w:cs="Times New Roman"/>
        </w:rPr>
        <w:t xml:space="preserve"> </w:t>
      </w:r>
      <w:proofErr w:type="spellStart"/>
      <w:r w:rsidRPr="00D63BCA">
        <w:rPr>
          <w:rFonts w:ascii="Times New Roman" w:hAnsi="Times New Roman" w:cs="Times New Roman"/>
        </w:rPr>
        <w:t>distributions</w:t>
      </w:r>
      <w:proofErr w:type="spellEnd"/>
      <w:r w:rsidRPr="00D63BCA">
        <w:rPr>
          <w:rFonts w:ascii="Times New Roman" w:hAnsi="Times New Roman" w:cs="Times New Roman"/>
        </w:rPr>
        <w:t xml:space="preserve"> </w:t>
      </w:r>
      <w:proofErr w:type="spellStart"/>
      <w:r w:rsidRPr="00D63BCA">
        <w:rPr>
          <w:rFonts w:ascii="Times New Roman" w:hAnsi="Times New Roman" w:cs="Times New Roman"/>
        </w:rPr>
        <w:t>used</w:t>
      </w:r>
      <w:proofErr w:type="spellEnd"/>
      <w:r w:rsidRPr="00D63BCA">
        <w:rPr>
          <w:rFonts w:ascii="Times New Roman" w:hAnsi="Times New Roman" w:cs="Times New Roman"/>
        </w:rPr>
        <w:t xml:space="preserve"> for the ‘</w:t>
      </w:r>
      <w:proofErr w:type="spellStart"/>
      <w:r w:rsidRPr="00D63BCA">
        <w:rPr>
          <w:rFonts w:ascii="Times New Roman" w:hAnsi="Times New Roman" w:cs="Times New Roman"/>
        </w:rPr>
        <w:t>Exp</w:t>
      </w:r>
      <w:proofErr w:type="spellEnd"/>
      <w:r w:rsidRPr="00D63BCA">
        <w:rPr>
          <w:rFonts w:ascii="Times New Roman" w:hAnsi="Times New Roman" w:cs="Times New Roman"/>
        </w:rPr>
        <w:t xml:space="preserve">-Ref’ service life </w:t>
      </w:r>
      <w:proofErr w:type="spellStart"/>
      <w:r w:rsidRPr="00D63BCA">
        <w:rPr>
          <w:rFonts w:ascii="Times New Roman" w:hAnsi="Times New Roman" w:cs="Times New Roman"/>
        </w:rPr>
        <w:t>prediction</w:t>
      </w:r>
      <w:proofErr w:type="spellEnd"/>
    </w:p>
    <w:tbl>
      <w:tblPr>
        <w:tblStyle w:val="Tablaconcuadrcula"/>
        <w:tblW w:w="0" w:type="auto"/>
        <w:jc w:val="center"/>
        <w:tblLook w:val="04A0" w:firstRow="1" w:lastRow="0" w:firstColumn="1" w:lastColumn="0" w:noHBand="0" w:noVBand="1"/>
      </w:tblPr>
      <w:tblGrid>
        <w:gridCol w:w="2122"/>
        <w:gridCol w:w="850"/>
        <w:gridCol w:w="1422"/>
        <w:gridCol w:w="2122"/>
        <w:gridCol w:w="1979"/>
      </w:tblGrid>
      <w:tr w:rsidR="00D63BCA" w:rsidRPr="00D63BCA" w14:paraId="7D8ACFEA" w14:textId="77777777" w:rsidTr="00D21395">
        <w:trPr>
          <w:jc w:val="center"/>
        </w:trPr>
        <w:tc>
          <w:tcPr>
            <w:tcW w:w="2972" w:type="dxa"/>
            <w:gridSpan w:val="2"/>
          </w:tcPr>
          <w:p w14:paraId="393357B9" w14:textId="77777777" w:rsidR="00D63BCA" w:rsidRPr="00D63BCA" w:rsidRDefault="00D63BCA" w:rsidP="00D63BCA">
            <w:pPr>
              <w:spacing w:after="0"/>
              <w:jc w:val="both"/>
              <w:rPr>
                <w:rFonts w:ascii="Times New Roman" w:hAnsi="Times New Roman"/>
                <w:sz w:val="22"/>
                <w:szCs w:val="22"/>
                <w:lang w:val="en-GB"/>
              </w:rPr>
            </w:pPr>
            <w:r w:rsidRPr="00D63BCA">
              <w:rPr>
                <w:rFonts w:ascii="Times New Roman" w:hAnsi="Times New Roman"/>
                <w:sz w:val="22"/>
                <w:szCs w:val="22"/>
                <w:lang w:val="en-GB"/>
              </w:rPr>
              <w:t>Variable</w:t>
            </w:r>
          </w:p>
        </w:tc>
        <w:tc>
          <w:tcPr>
            <w:tcW w:w="1422" w:type="dxa"/>
          </w:tcPr>
          <w:p w14:paraId="01B92AC1"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Distribution</w:t>
            </w:r>
          </w:p>
        </w:tc>
        <w:tc>
          <w:tcPr>
            <w:tcW w:w="2122" w:type="dxa"/>
          </w:tcPr>
          <w:p w14:paraId="37A9D9B9"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Central value</w:t>
            </w:r>
          </w:p>
        </w:tc>
        <w:tc>
          <w:tcPr>
            <w:tcW w:w="1979" w:type="dxa"/>
          </w:tcPr>
          <w:p w14:paraId="0A125D1D"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Scatter</w:t>
            </w:r>
          </w:p>
        </w:tc>
      </w:tr>
      <w:tr w:rsidR="00D63BCA" w:rsidRPr="00D63BCA" w14:paraId="61CA378C" w14:textId="77777777" w:rsidTr="00D21395">
        <w:trPr>
          <w:jc w:val="center"/>
        </w:trPr>
        <w:tc>
          <w:tcPr>
            <w:tcW w:w="2972" w:type="dxa"/>
            <w:gridSpan w:val="2"/>
          </w:tcPr>
          <w:p w14:paraId="51572E8E" w14:textId="77777777" w:rsidR="00D63BCA" w:rsidRPr="00D63BCA" w:rsidRDefault="00D63BCA" w:rsidP="00D63BCA">
            <w:pPr>
              <w:spacing w:after="0"/>
              <w:jc w:val="both"/>
              <w:rPr>
                <w:rFonts w:ascii="Times New Roman" w:hAnsi="Times New Roman"/>
                <w:sz w:val="22"/>
                <w:szCs w:val="22"/>
                <w:lang w:val="en-GB"/>
              </w:rPr>
            </w:pPr>
            <w:r w:rsidRPr="00D63BCA">
              <w:rPr>
                <w:rFonts w:ascii="Times New Roman" w:hAnsi="Times New Roman"/>
                <w:sz w:val="22"/>
                <w:szCs w:val="22"/>
                <w:lang w:val="en-GB"/>
              </w:rPr>
              <w:t xml:space="preserve">Cover Thickness </w:t>
            </w:r>
            <w:r w:rsidRPr="00D63BCA">
              <w:rPr>
                <w:rFonts w:ascii="Times New Roman" w:hAnsi="Times New Roman"/>
                <w:i/>
                <w:iCs/>
                <w:sz w:val="22"/>
                <w:szCs w:val="22"/>
                <w:lang w:val="en-GB"/>
              </w:rPr>
              <w:t xml:space="preserve">d </w:t>
            </w:r>
          </w:p>
        </w:tc>
        <w:tc>
          <w:tcPr>
            <w:tcW w:w="1422" w:type="dxa"/>
          </w:tcPr>
          <w:p w14:paraId="18A1E2D1"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Normal</w:t>
            </w:r>
          </w:p>
        </w:tc>
        <w:tc>
          <w:tcPr>
            <w:tcW w:w="2122" w:type="dxa"/>
          </w:tcPr>
          <w:p w14:paraId="15872E9D"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Mean = 73.4 mm</w:t>
            </w:r>
          </w:p>
        </w:tc>
        <w:tc>
          <w:tcPr>
            <w:tcW w:w="1979" w:type="dxa"/>
          </w:tcPr>
          <w:p w14:paraId="7E1409D5"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Std. Dev. = 3.9 mm</w:t>
            </w:r>
          </w:p>
        </w:tc>
      </w:tr>
      <w:tr w:rsidR="00D63BCA" w:rsidRPr="00D63BCA" w14:paraId="2FFDA52A" w14:textId="77777777" w:rsidTr="00D21395">
        <w:trPr>
          <w:jc w:val="center"/>
        </w:trPr>
        <w:tc>
          <w:tcPr>
            <w:tcW w:w="2122" w:type="dxa"/>
            <w:vMerge w:val="restart"/>
            <w:vAlign w:val="center"/>
          </w:tcPr>
          <w:p w14:paraId="25C1E9C6" w14:textId="77777777" w:rsidR="00D63BCA" w:rsidRPr="00D63BCA" w:rsidRDefault="00D63BCA" w:rsidP="00D63BCA">
            <w:pPr>
              <w:spacing w:after="0"/>
              <w:jc w:val="both"/>
              <w:rPr>
                <w:rFonts w:ascii="Times New Roman" w:hAnsi="Times New Roman"/>
                <w:sz w:val="22"/>
                <w:szCs w:val="22"/>
                <w:lang w:val="en-GB"/>
              </w:rPr>
            </w:pPr>
            <w:r w:rsidRPr="00D63BCA">
              <w:rPr>
                <w:rFonts w:ascii="Times New Roman" w:hAnsi="Times New Roman"/>
                <w:sz w:val="22"/>
                <w:szCs w:val="22"/>
                <w:lang w:val="en-GB"/>
              </w:rPr>
              <w:t xml:space="preserve">Air-Permeability </w:t>
            </w:r>
            <w:proofErr w:type="spellStart"/>
            <w:r w:rsidRPr="00D63BCA">
              <w:rPr>
                <w:rFonts w:ascii="Times New Roman" w:hAnsi="Times New Roman"/>
                <w:i/>
                <w:iCs/>
                <w:sz w:val="22"/>
                <w:szCs w:val="22"/>
                <w:lang w:val="en-GB"/>
              </w:rPr>
              <w:t>kT</w:t>
            </w:r>
            <w:proofErr w:type="spellEnd"/>
          </w:p>
        </w:tc>
        <w:tc>
          <w:tcPr>
            <w:tcW w:w="850" w:type="dxa"/>
          </w:tcPr>
          <w:p w14:paraId="1B322AB2" w14:textId="77777777" w:rsidR="00D63BCA" w:rsidRPr="00D63BCA" w:rsidRDefault="00D63BCA" w:rsidP="00D63BCA">
            <w:pPr>
              <w:spacing w:after="0"/>
              <w:jc w:val="both"/>
              <w:rPr>
                <w:rFonts w:ascii="Times New Roman" w:hAnsi="Times New Roman"/>
                <w:sz w:val="22"/>
                <w:szCs w:val="22"/>
                <w:lang w:val="en-GB"/>
              </w:rPr>
            </w:pPr>
            <w:r w:rsidRPr="00D63BCA">
              <w:rPr>
                <w:rFonts w:ascii="Times New Roman" w:hAnsi="Times New Roman"/>
                <w:sz w:val="22"/>
                <w:szCs w:val="22"/>
                <w:lang w:val="en-GB"/>
              </w:rPr>
              <w:t>Case 1</w:t>
            </w:r>
          </w:p>
        </w:tc>
        <w:tc>
          <w:tcPr>
            <w:tcW w:w="1422" w:type="dxa"/>
            <w:vMerge w:val="restart"/>
            <w:vAlign w:val="center"/>
          </w:tcPr>
          <w:p w14:paraId="6E9CB95D" w14:textId="77777777" w:rsidR="00D63BCA" w:rsidRPr="00D63BCA" w:rsidRDefault="00D63BCA" w:rsidP="00D63BCA">
            <w:pPr>
              <w:spacing w:after="0"/>
              <w:jc w:val="center"/>
              <w:rPr>
                <w:rFonts w:ascii="Times New Roman" w:hAnsi="Times New Roman"/>
                <w:sz w:val="22"/>
                <w:szCs w:val="22"/>
                <w:lang w:val="en-GB"/>
              </w:rPr>
            </w:pPr>
            <w:r w:rsidRPr="00D63BCA">
              <w:rPr>
                <w:rFonts w:ascii="Times New Roman" w:hAnsi="Times New Roman"/>
                <w:sz w:val="22"/>
                <w:szCs w:val="22"/>
                <w:lang w:val="en-GB"/>
              </w:rPr>
              <w:t>Log-Normal</w:t>
            </w:r>
          </w:p>
        </w:tc>
        <w:tc>
          <w:tcPr>
            <w:tcW w:w="2122" w:type="dxa"/>
          </w:tcPr>
          <w:p w14:paraId="0D8028AA" w14:textId="77777777" w:rsidR="00D63BCA" w:rsidRPr="00D63BCA" w:rsidRDefault="00D63BCA" w:rsidP="00D63BCA">
            <w:pPr>
              <w:spacing w:after="0"/>
              <w:jc w:val="center"/>
              <w:rPr>
                <w:rFonts w:ascii="Times New Roman" w:hAnsi="Times New Roman"/>
                <w:sz w:val="22"/>
                <w:szCs w:val="22"/>
                <w:lang w:val="en-GB"/>
              </w:rPr>
            </w:pPr>
            <w:proofErr w:type="spellStart"/>
            <w:r w:rsidRPr="00D63BCA">
              <w:rPr>
                <w:rFonts w:ascii="Times New Roman" w:hAnsi="Times New Roman"/>
                <w:i/>
                <w:iCs/>
                <w:sz w:val="22"/>
                <w:szCs w:val="22"/>
                <w:lang w:val="en-GB"/>
              </w:rPr>
              <w:t>kT</w:t>
            </w:r>
            <w:r w:rsidRPr="00D63BCA">
              <w:rPr>
                <w:rFonts w:ascii="Times New Roman" w:hAnsi="Times New Roman"/>
                <w:i/>
                <w:iCs/>
                <w:sz w:val="22"/>
                <w:szCs w:val="22"/>
                <w:vertAlign w:val="subscript"/>
                <w:lang w:val="en-GB"/>
              </w:rPr>
              <w:t>gm</w:t>
            </w:r>
            <w:proofErr w:type="spellEnd"/>
            <w:r w:rsidRPr="00D63BCA">
              <w:rPr>
                <w:rFonts w:ascii="Times New Roman" w:hAnsi="Times New Roman"/>
                <w:sz w:val="22"/>
                <w:szCs w:val="22"/>
                <w:lang w:val="en-GB"/>
              </w:rPr>
              <w:t xml:space="preserve"> = 0.069 10</w:t>
            </w:r>
            <w:r w:rsidRPr="00D63BCA">
              <w:rPr>
                <w:rFonts w:ascii="Times New Roman" w:hAnsi="Times New Roman"/>
                <w:sz w:val="22"/>
                <w:szCs w:val="22"/>
                <w:vertAlign w:val="superscript"/>
                <w:lang w:val="en-GB"/>
              </w:rPr>
              <w:t>-16</w:t>
            </w:r>
            <w:r w:rsidRPr="00D63BCA">
              <w:rPr>
                <w:rFonts w:ascii="Times New Roman" w:hAnsi="Times New Roman"/>
                <w:sz w:val="22"/>
                <w:szCs w:val="22"/>
                <w:lang w:val="en-GB"/>
              </w:rPr>
              <w:t xml:space="preserve"> m²</w:t>
            </w:r>
          </w:p>
        </w:tc>
        <w:tc>
          <w:tcPr>
            <w:tcW w:w="1979" w:type="dxa"/>
          </w:tcPr>
          <w:p w14:paraId="08A4A940" w14:textId="77777777" w:rsidR="00D63BCA" w:rsidRPr="00D63BCA" w:rsidRDefault="00D63BCA" w:rsidP="00D63BCA">
            <w:pPr>
              <w:spacing w:after="0"/>
              <w:jc w:val="center"/>
              <w:rPr>
                <w:rFonts w:ascii="Times New Roman" w:hAnsi="Times New Roman"/>
                <w:sz w:val="22"/>
                <w:szCs w:val="22"/>
                <w:lang w:val="en-GB"/>
              </w:rPr>
            </w:pPr>
            <w:proofErr w:type="spellStart"/>
            <w:r w:rsidRPr="00D63BCA">
              <w:rPr>
                <w:rFonts w:ascii="Times New Roman" w:hAnsi="Times New Roman"/>
                <w:i/>
                <w:iCs/>
                <w:sz w:val="22"/>
                <w:szCs w:val="22"/>
                <w:lang w:val="en-GB"/>
              </w:rPr>
              <w:t>s</w:t>
            </w:r>
            <w:r w:rsidRPr="00D63BCA">
              <w:rPr>
                <w:rFonts w:ascii="Times New Roman" w:hAnsi="Times New Roman"/>
                <w:i/>
                <w:iCs/>
                <w:sz w:val="22"/>
                <w:szCs w:val="22"/>
                <w:vertAlign w:val="subscript"/>
                <w:lang w:val="en-GB"/>
              </w:rPr>
              <w:t>LOG</w:t>
            </w:r>
            <w:proofErr w:type="spellEnd"/>
            <w:r w:rsidRPr="00D63BCA">
              <w:rPr>
                <w:rFonts w:ascii="Times New Roman" w:hAnsi="Times New Roman"/>
                <w:sz w:val="22"/>
                <w:szCs w:val="22"/>
                <w:lang w:val="en-GB"/>
              </w:rPr>
              <w:t xml:space="preserve"> = 0.18</w:t>
            </w:r>
          </w:p>
        </w:tc>
      </w:tr>
      <w:tr w:rsidR="00D63BCA" w:rsidRPr="00D63BCA" w14:paraId="33947BB5" w14:textId="77777777" w:rsidTr="00D21395">
        <w:trPr>
          <w:jc w:val="center"/>
        </w:trPr>
        <w:tc>
          <w:tcPr>
            <w:tcW w:w="2122" w:type="dxa"/>
            <w:vMerge/>
          </w:tcPr>
          <w:p w14:paraId="30B5F67A" w14:textId="77777777" w:rsidR="00D63BCA" w:rsidRPr="00D63BCA" w:rsidRDefault="00D63BCA" w:rsidP="00D63BCA">
            <w:pPr>
              <w:spacing w:after="0"/>
              <w:jc w:val="both"/>
              <w:rPr>
                <w:rFonts w:ascii="Times New Roman" w:hAnsi="Times New Roman"/>
                <w:sz w:val="22"/>
                <w:szCs w:val="22"/>
                <w:lang w:val="en-GB"/>
              </w:rPr>
            </w:pPr>
          </w:p>
        </w:tc>
        <w:tc>
          <w:tcPr>
            <w:tcW w:w="850" w:type="dxa"/>
          </w:tcPr>
          <w:p w14:paraId="4FBD8554" w14:textId="77777777" w:rsidR="00D63BCA" w:rsidRPr="00D63BCA" w:rsidRDefault="00D63BCA" w:rsidP="00D63BCA">
            <w:pPr>
              <w:spacing w:after="0"/>
              <w:jc w:val="both"/>
              <w:rPr>
                <w:rFonts w:ascii="Times New Roman" w:hAnsi="Times New Roman"/>
                <w:sz w:val="22"/>
                <w:szCs w:val="22"/>
                <w:lang w:val="en-GB"/>
              </w:rPr>
            </w:pPr>
            <w:r w:rsidRPr="00D63BCA">
              <w:rPr>
                <w:rFonts w:ascii="Times New Roman" w:hAnsi="Times New Roman"/>
                <w:sz w:val="22"/>
                <w:szCs w:val="22"/>
                <w:lang w:val="en-GB"/>
              </w:rPr>
              <w:t>Case 2</w:t>
            </w:r>
          </w:p>
        </w:tc>
        <w:tc>
          <w:tcPr>
            <w:tcW w:w="1422" w:type="dxa"/>
            <w:vMerge/>
          </w:tcPr>
          <w:p w14:paraId="34B0CDA5" w14:textId="77777777" w:rsidR="00D63BCA" w:rsidRPr="00D63BCA" w:rsidRDefault="00D63BCA" w:rsidP="00D63BCA">
            <w:pPr>
              <w:spacing w:after="0"/>
              <w:jc w:val="center"/>
              <w:rPr>
                <w:rFonts w:ascii="Times New Roman" w:hAnsi="Times New Roman"/>
                <w:sz w:val="22"/>
                <w:szCs w:val="22"/>
                <w:lang w:val="en-GB"/>
              </w:rPr>
            </w:pPr>
          </w:p>
        </w:tc>
        <w:tc>
          <w:tcPr>
            <w:tcW w:w="2122" w:type="dxa"/>
          </w:tcPr>
          <w:p w14:paraId="7DCDFC84" w14:textId="77777777" w:rsidR="00D63BCA" w:rsidRPr="00D63BCA" w:rsidRDefault="00D63BCA" w:rsidP="00D63BCA">
            <w:pPr>
              <w:spacing w:after="0"/>
              <w:jc w:val="center"/>
              <w:rPr>
                <w:rFonts w:ascii="Times New Roman" w:hAnsi="Times New Roman"/>
                <w:sz w:val="22"/>
                <w:szCs w:val="22"/>
                <w:lang w:val="en-GB"/>
              </w:rPr>
            </w:pPr>
            <w:proofErr w:type="spellStart"/>
            <w:r w:rsidRPr="00D63BCA">
              <w:rPr>
                <w:rFonts w:ascii="Times New Roman" w:hAnsi="Times New Roman"/>
                <w:i/>
                <w:iCs/>
                <w:sz w:val="22"/>
                <w:szCs w:val="22"/>
                <w:lang w:val="en-GB"/>
              </w:rPr>
              <w:t>kT</w:t>
            </w:r>
            <w:r w:rsidRPr="00D63BCA">
              <w:rPr>
                <w:rFonts w:ascii="Times New Roman" w:hAnsi="Times New Roman"/>
                <w:i/>
                <w:iCs/>
                <w:sz w:val="22"/>
                <w:szCs w:val="22"/>
                <w:vertAlign w:val="subscript"/>
                <w:lang w:val="en-GB"/>
              </w:rPr>
              <w:t>gm</w:t>
            </w:r>
            <w:proofErr w:type="spellEnd"/>
            <w:r w:rsidRPr="00D63BCA">
              <w:rPr>
                <w:rFonts w:ascii="Times New Roman" w:hAnsi="Times New Roman"/>
                <w:sz w:val="22"/>
                <w:szCs w:val="22"/>
                <w:lang w:val="en-GB"/>
              </w:rPr>
              <w:t xml:space="preserve"> = 0.022 10</w:t>
            </w:r>
            <w:r w:rsidRPr="00D63BCA">
              <w:rPr>
                <w:rFonts w:ascii="Times New Roman" w:hAnsi="Times New Roman"/>
                <w:sz w:val="22"/>
                <w:szCs w:val="22"/>
                <w:vertAlign w:val="superscript"/>
                <w:lang w:val="en-GB"/>
              </w:rPr>
              <w:t>-16</w:t>
            </w:r>
            <w:r w:rsidRPr="00D63BCA">
              <w:rPr>
                <w:rFonts w:ascii="Times New Roman" w:hAnsi="Times New Roman"/>
                <w:sz w:val="22"/>
                <w:szCs w:val="22"/>
                <w:lang w:val="en-GB"/>
              </w:rPr>
              <w:t xml:space="preserve"> m²</w:t>
            </w:r>
          </w:p>
        </w:tc>
        <w:tc>
          <w:tcPr>
            <w:tcW w:w="1979" w:type="dxa"/>
          </w:tcPr>
          <w:p w14:paraId="625D6264" w14:textId="77777777" w:rsidR="00D63BCA" w:rsidRPr="00D63BCA" w:rsidRDefault="00D63BCA" w:rsidP="00D63BCA">
            <w:pPr>
              <w:spacing w:after="0"/>
              <w:jc w:val="center"/>
              <w:rPr>
                <w:rFonts w:ascii="Times New Roman" w:hAnsi="Times New Roman"/>
                <w:sz w:val="22"/>
                <w:szCs w:val="22"/>
                <w:lang w:val="en-GB"/>
              </w:rPr>
            </w:pPr>
            <w:proofErr w:type="spellStart"/>
            <w:r w:rsidRPr="00D63BCA">
              <w:rPr>
                <w:rFonts w:ascii="Times New Roman" w:hAnsi="Times New Roman"/>
                <w:i/>
                <w:iCs/>
                <w:sz w:val="22"/>
                <w:szCs w:val="22"/>
                <w:lang w:val="en-GB"/>
              </w:rPr>
              <w:t>s</w:t>
            </w:r>
            <w:r w:rsidRPr="00D63BCA">
              <w:rPr>
                <w:rFonts w:ascii="Times New Roman" w:hAnsi="Times New Roman"/>
                <w:i/>
                <w:iCs/>
                <w:sz w:val="22"/>
                <w:szCs w:val="22"/>
                <w:vertAlign w:val="subscript"/>
                <w:lang w:val="en-GB"/>
              </w:rPr>
              <w:t>LOG</w:t>
            </w:r>
            <w:proofErr w:type="spellEnd"/>
            <w:r w:rsidRPr="00D63BCA">
              <w:rPr>
                <w:rFonts w:ascii="Times New Roman" w:hAnsi="Times New Roman"/>
                <w:sz w:val="22"/>
                <w:szCs w:val="22"/>
                <w:lang w:val="en-GB"/>
              </w:rPr>
              <w:t xml:space="preserve"> = 0.42</w:t>
            </w:r>
          </w:p>
        </w:tc>
      </w:tr>
    </w:tbl>
    <w:p w14:paraId="13F3769A" w14:textId="77777777" w:rsidR="00D63BCA" w:rsidRPr="00E54CE1" w:rsidRDefault="00D63BCA" w:rsidP="00787A26">
      <w:pPr>
        <w:spacing w:after="120"/>
        <w:jc w:val="both"/>
        <w:rPr>
          <w:rFonts w:ascii="Times New Roman" w:hAnsi="Times New Roman" w:cs="Times New Roman"/>
          <w:lang w:val="en-GB"/>
        </w:rPr>
      </w:pPr>
    </w:p>
    <w:p w14:paraId="02AFABED" w14:textId="70C90311"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 xml:space="preserve">The Monte Carlo simulation was run through 8000 instances, generating for each of them independent random values of </w:t>
      </w:r>
      <w:r w:rsidRPr="00E54CE1">
        <w:rPr>
          <w:rFonts w:ascii="Times New Roman" w:hAnsi="Times New Roman" w:cs="Times New Roman"/>
          <w:i/>
          <w:iCs/>
          <w:lang w:val="en-GB"/>
        </w:rPr>
        <w:t>d</w:t>
      </w:r>
      <w:r w:rsidRPr="00E54CE1">
        <w:rPr>
          <w:rFonts w:ascii="Times New Roman" w:hAnsi="Times New Roman" w:cs="Times New Roman"/>
          <w:lang w:val="en-GB"/>
        </w:rPr>
        <w:t xml:space="preserve"> and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according to the distributions and parameters shown in Table </w:t>
      </w:r>
      <w:r w:rsidR="00B64325">
        <w:rPr>
          <w:rFonts w:ascii="Times New Roman" w:hAnsi="Times New Roman" w:cs="Times New Roman"/>
          <w:lang w:val="en-GB"/>
        </w:rPr>
        <w:t>3</w:t>
      </w:r>
      <w:r w:rsidRPr="00E54CE1">
        <w:rPr>
          <w:rFonts w:ascii="Times New Roman" w:hAnsi="Times New Roman" w:cs="Times New Roman"/>
          <w:lang w:val="en-GB"/>
        </w:rPr>
        <w:t xml:space="preserve"> which, by applying Eq. </w:t>
      </w:r>
      <w:r w:rsidR="00D63BCA">
        <w:rPr>
          <w:rFonts w:ascii="Times New Roman" w:hAnsi="Times New Roman" w:cs="Times New Roman"/>
          <w:lang w:val="en-GB"/>
        </w:rPr>
        <w:t>3</w:t>
      </w:r>
      <w:r w:rsidRPr="00E54CE1">
        <w:rPr>
          <w:rFonts w:ascii="Times New Roman" w:hAnsi="Times New Roman" w:cs="Times New Roman"/>
          <w:lang w:val="en-GB"/>
        </w:rPr>
        <w:t xml:space="preserve">, yielded 8000 values of the corrosion initiation time. The resulting probability of occurrence for both cases is plotted in Fig. </w:t>
      </w:r>
      <w:r w:rsidR="00B64325">
        <w:rPr>
          <w:rFonts w:ascii="Times New Roman" w:hAnsi="Times New Roman" w:cs="Times New Roman"/>
          <w:lang w:val="en-GB"/>
        </w:rPr>
        <w:t>2</w:t>
      </w:r>
      <w:r w:rsidRPr="00E54CE1">
        <w:rPr>
          <w:rFonts w:ascii="Times New Roman" w:hAnsi="Times New Roman" w:cs="Times New Roman"/>
          <w:lang w:val="en-GB"/>
        </w:rPr>
        <w:t xml:space="preserve"> (black dots for Case 1, white dots for Case 2).</w:t>
      </w:r>
    </w:p>
    <w:p w14:paraId="28635FDE" w14:textId="192B9194" w:rsidR="00787A26" w:rsidRPr="00E54CE1"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t xml:space="preserve">Fig. </w:t>
      </w:r>
      <w:r w:rsidR="00B64325">
        <w:rPr>
          <w:rFonts w:ascii="Times New Roman" w:hAnsi="Times New Roman" w:cs="Times New Roman"/>
          <w:lang w:val="en-GB"/>
        </w:rPr>
        <w:t>2</w:t>
      </w:r>
      <w:r w:rsidRPr="00E54CE1">
        <w:rPr>
          <w:rFonts w:ascii="Times New Roman" w:hAnsi="Times New Roman" w:cs="Times New Roman"/>
          <w:lang w:val="en-GB"/>
        </w:rPr>
        <w:t xml:space="preserve"> shows that the ‘Exp-Ref’ prediction for Case 1 yields a median service life (50% Probability) very similar to the Analytical prediction (≈ 135 years), but the probability of occurrence at 120 years is much higher for the ‘Exp-Ref’ Case 1 (24%) than for the Analytical prediction (5%). The ‘Exp-Ref’ Case 2 predicts at 120 years a probability of 7% (closer to the Analytical prediction) but a much longer median service life (≈ 200 years), reflecting the very low central value but high scatter of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xml:space="preserve"> values, compared to Case 1.</w:t>
      </w:r>
    </w:p>
    <w:p w14:paraId="0761870B" w14:textId="11F77ADA" w:rsidR="00787A26" w:rsidRDefault="00787A26" w:rsidP="00787A26">
      <w:pPr>
        <w:spacing w:after="120"/>
        <w:jc w:val="both"/>
        <w:rPr>
          <w:rFonts w:ascii="Times New Roman" w:hAnsi="Times New Roman" w:cs="Times New Roman"/>
          <w:lang w:val="en-GB"/>
        </w:rPr>
      </w:pPr>
      <w:r w:rsidRPr="00E54CE1">
        <w:rPr>
          <w:rFonts w:ascii="Times New Roman" w:hAnsi="Times New Roman" w:cs="Times New Roman"/>
          <w:lang w:val="en-GB"/>
        </w:rPr>
        <w:lastRenderedPageBreak/>
        <w:t>It is difficult to compare the Analytical with the Exp-Ref predictions, because the principles of the models are quite different. Yet, since all three predictions are based on the same probability distribution of the cover thickness (squared), the differences can be attributed mostly to the penetrability (by diffusion or permeability) of the concrete cover. In this respect, the higher scatter of the Exp-Ref predictions probably reflects the higher variability of the quality (</w:t>
      </w:r>
      <w:proofErr w:type="spellStart"/>
      <w:r w:rsidRPr="00E54CE1">
        <w:rPr>
          <w:rFonts w:ascii="Times New Roman" w:hAnsi="Times New Roman" w:cs="Times New Roman"/>
          <w:i/>
          <w:iCs/>
          <w:lang w:val="en-GB"/>
        </w:rPr>
        <w:t>kT</w:t>
      </w:r>
      <w:proofErr w:type="spellEnd"/>
      <w:r w:rsidRPr="00E54CE1">
        <w:rPr>
          <w:rFonts w:ascii="Times New Roman" w:hAnsi="Times New Roman" w:cs="Times New Roman"/>
          <w:lang w:val="en-GB"/>
        </w:rPr>
        <w:t>), measured on site, compared to that obtained on cast specimens (</w:t>
      </w:r>
      <w:r w:rsidRPr="00E54CE1">
        <w:rPr>
          <w:rFonts w:ascii="Times New Roman" w:hAnsi="Times New Roman" w:cs="Times New Roman"/>
          <w:i/>
          <w:iCs/>
          <w:lang w:val="en-GB"/>
        </w:rPr>
        <w:t>D</w:t>
      </w:r>
      <w:r w:rsidRPr="00E54CE1">
        <w:rPr>
          <w:rFonts w:ascii="Times New Roman" w:hAnsi="Times New Roman" w:cs="Times New Roman"/>
          <w:i/>
          <w:iCs/>
          <w:vertAlign w:val="subscript"/>
          <w:lang w:val="en-GB"/>
        </w:rPr>
        <w:t>0</w:t>
      </w:r>
      <w:r w:rsidRPr="00E54CE1">
        <w:rPr>
          <w:rFonts w:ascii="Times New Roman" w:hAnsi="Times New Roman" w:cs="Times New Roman"/>
          <w:lang w:val="en-GB"/>
        </w:rPr>
        <w:t>).</w:t>
      </w:r>
    </w:p>
    <w:p w14:paraId="635A3A30" w14:textId="77777777" w:rsidR="00B773A8" w:rsidRDefault="00B773A8" w:rsidP="00787A26">
      <w:pPr>
        <w:spacing w:after="120"/>
        <w:jc w:val="both"/>
        <w:rPr>
          <w:rFonts w:ascii="Times New Roman" w:hAnsi="Times New Roman" w:cs="Times New Roman"/>
          <w:lang w:val="en-GB"/>
        </w:rPr>
      </w:pPr>
    </w:p>
    <w:p w14:paraId="5E30B757" w14:textId="19296025" w:rsidR="00B773A8" w:rsidRPr="00B773A8" w:rsidRDefault="00B773A8" w:rsidP="00787A26">
      <w:pPr>
        <w:spacing w:after="120"/>
        <w:jc w:val="both"/>
        <w:rPr>
          <w:rFonts w:ascii="Times New Roman" w:hAnsi="Times New Roman" w:cs="Times New Roman"/>
          <w:b/>
          <w:bCs/>
          <w:lang w:val="en-GB"/>
        </w:rPr>
      </w:pPr>
      <w:r w:rsidRPr="00B773A8">
        <w:rPr>
          <w:rFonts w:ascii="Times New Roman" w:hAnsi="Times New Roman" w:cs="Times New Roman"/>
          <w:b/>
          <w:bCs/>
          <w:lang w:val="en-GB"/>
        </w:rPr>
        <w:t>References</w:t>
      </w:r>
    </w:p>
    <w:p w14:paraId="0547FE91" w14:textId="77777777" w:rsidR="00B773A8" w:rsidRPr="00B773A8" w:rsidRDefault="00B773A8" w:rsidP="00B773A8">
      <w:pPr>
        <w:spacing w:after="120"/>
        <w:jc w:val="both"/>
        <w:rPr>
          <w:rFonts w:ascii="Times New Roman" w:hAnsi="Times New Roman" w:cs="Times New Roman"/>
          <w:lang w:val="en-GB"/>
        </w:rPr>
      </w:pPr>
      <w:proofErr w:type="spellStart"/>
      <w:r w:rsidRPr="00B773A8">
        <w:rPr>
          <w:rFonts w:ascii="Times New Roman" w:hAnsi="Times New Roman" w:cs="Times New Roman"/>
          <w:lang w:val="en-GB"/>
        </w:rPr>
        <w:t>DuraCrete</w:t>
      </w:r>
      <w:proofErr w:type="spellEnd"/>
      <w:r w:rsidRPr="00B773A8">
        <w:rPr>
          <w:rFonts w:ascii="Times New Roman" w:hAnsi="Times New Roman" w:cs="Times New Roman"/>
          <w:lang w:val="en-GB"/>
        </w:rPr>
        <w:t xml:space="preserve"> (2000). "Probabilistic Performance based Durability Design of Concrete Structures”. The European Union–</w:t>
      </w:r>
      <w:proofErr w:type="spellStart"/>
      <w:r w:rsidRPr="00B773A8">
        <w:rPr>
          <w:rFonts w:ascii="Times New Roman" w:hAnsi="Times New Roman" w:cs="Times New Roman"/>
          <w:lang w:val="en-GB"/>
        </w:rPr>
        <w:t>Brite</w:t>
      </w:r>
      <w:proofErr w:type="spellEnd"/>
      <w:r w:rsidRPr="00B773A8">
        <w:rPr>
          <w:rFonts w:ascii="Times New Roman" w:hAnsi="Times New Roman" w:cs="Times New Roman"/>
          <w:lang w:val="en-GB"/>
        </w:rPr>
        <w:t xml:space="preserve"> </w:t>
      </w:r>
      <w:proofErr w:type="spellStart"/>
      <w:r w:rsidRPr="00B773A8">
        <w:rPr>
          <w:rFonts w:ascii="Times New Roman" w:hAnsi="Times New Roman" w:cs="Times New Roman"/>
          <w:lang w:val="en-GB"/>
        </w:rPr>
        <w:t>EuRam</w:t>
      </w:r>
      <w:proofErr w:type="spellEnd"/>
      <w:r w:rsidRPr="00B773A8">
        <w:rPr>
          <w:rFonts w:ascii="Times New Roman" w:hAnsi="Times New Roman" w:cs="Times New Roman"/>
          <w:lang w:val="en-GB"/>
        </w:rPr>
        <w:t xml:space="preserve"> III, BE95-1347/R17, CUR, Gouda, The Netherlands.</w:t>
      </w:r>
    </w:p>
    <w:p w14:paraId="4D14ADA2" w14:textId="77777777" w:rsidR="00B773A8" w:rsidRPr="00E54CE1" w:rsidRDefault="00B773A8" w:rsidP="00B773A8">
      <w:pPr>
        <w:spacing w:after="120"/>
        <w:jc w:val="both"/>
        <w:rPr>
          <w:rFonts w:ascii="Times New Roman" w:hAnsi="Times New Roman" w:cs="Times New Roman"/>
          <w:lang w:val="en-GB"/>
        </w:rPr>
      </w:pPr>
      <w:proofErr w:type="spellStart"/>
      <w:r w:rsidRPr="00E54CE1">
        <w:rPr>
          <w:rFonts w:ascii="Times New Roman" w:hAnsi="Times New Roman" w:cs="Times New Roman"/>
          <w:lang w:val="en-GB"/>
        </w:rPr>
        <w:t>Halabe</w:t>
      </w:r>
      <w:proofErr w:type="spellEnd"/>
      <w:r w:rsidRPr="00E54CE1">
        <w:rPr>
          <w:rFonts w:ascii="Times New Roman" w:hAnsi="Times New Roman" w:cs="Times New Roman"/>
          <w:lang w:val="en-GB"/>
        </w:rPr>
        <w:t xml:space="preserve">, U.B., </w:t>
      </w:r>
      <w:proofErr w:type="spellStart"/>
      <w:r w:rsidRPr="00E54CE1">
        <w:rPr>
          <w:rFonts w:ascii="Times New Roman" w:hAnsi="Times New Roman" w:cs="Times New Roman"/>
          <w:lang w:val="en-GB"/>
        </w:rPr>
        <w:t>Sotoodehnia</w:t>
      </w:r>
      <w:proofErr w:type="spellEnd"/>
      <w:r w:rsidRPr="00E54CE1">
        <w:rPr>
          <w:rFonts w:ascii="Times New Roman" w:hAnsi="Times New Roman" w:cs="Times New Roman"/>
          <w:lang w:val="en-GB"/>
        </w:rPr>
        <w:t xml:space="preserve">, A., Maser, K.R. and </w:t>
      </w:r>
      <w:proofErr w:type="spellStart"/>
      <w:r w:rsidRPr="00E54CE1">
        <w:rPr>
          <w:rFonts w:ascii="Times New Roman" w:hAnsi="Times New Roman" w:cs="Times New Roman"/>
          <w:lang w:val="en-GB"/>
        </w:rPr>
        <w:t>Kausel</w:t>
      </w:r>
      <w:proofErr w:type="spellEnd"/>
      <w:r w:rsidRPr="00E54CE1">
        <w:rPr>
          <w:rFonts w:ascii="Times New Roman" w:hAnsi="Times New Roman" w:cs="Times New Roman"/>
          <w:lang w:val="en-GB"/>
        </w:rPr>
        <w:t>, E.A. (1993). “</w:t>
      </w:r>
      <w:proofErr w:type="spellStart"/>
      <w:r w:rsidRPr="00E54CE1">
        <w:rPr>
          <w:rFonts w:ascii="Times New Roman" w:hAnsi="Times New Roman" w:cs="Times New Roman"/>
          <w:lang w:val="en-GB"/>
        </w:rPr>
        <w:t>Modeling</w:t>
      </w:r>
      <w:proofErr w:type="spellEnd"/>
      <w:r w:rsidRPr="00E54CE1">
        <w:rPr>
          <w:rFonts w:ascii="Times New Roman" w:hAnsi="Times New Roman" w:cs="Times New Roman"/>
          <w:lang w:val="en-GB"/>
        </w:rPr>
        <w:t xml:space="preserve"> the Electromagnetic Properties of Concrete”. </w:t>
      </w:r>
      <w:r w:rsidRPr="00E54CE1">
        <w:rPr>
          <w:rFonts w:ascii="Times New Roman" w:hAnsi="Times New Roman" w:cs="Times New Roman"/>
          <w:i/>
          <w:iCs/>
          <w:lang w:val="en-GB"/>
        </w:rPr>
        <w:t>ACI Mater. J</w:t>
      </w:r>
      <w:r w:rsidRPr="00E54CE1">
        <w:rPr>
          <w:rFonts w:ascii="Times New Roman" w:hAnsi="Times New Roman" w:cs="Times New Roman"/>
          <w:lang w:val="en-GB"/>
        </w:rPr>
        <w:t>., v90, n6, 552-563.</w:t>
      </w:r>
    </w:p>
    <w:p w14:paraId="532F9224" w14:textId="77777777" w:rsidR="00BF0D79" w:rsidRDefault="00BF0D79" w:rsidP="00B773A8">
      <w:pPr>
        <w:spacing w:after="120"/>
        <w:jc w:val="both"/>
        <w:rPr>
          <w:rFonts w:ascii="Times New Roman" w:hAnsi="Times New Roman" w:cs="Times New Roman"/>
          <w:lang w:val="en-GB"/>
        </w:rPr>
      </w:pPr>
      <w:r w:rsidRPr="00BF0D79">
        <w:rPr>
          <w:rFonts w:ascii="Times New Roman" w:hAnsi="Times New Roman" w:cs="Times New Roman"/>
          <w:lang w:val="en-GB"/>
        </w:rPr>
        <w:t>EN 12390-18 (2021). “Testing hardened concrete. Determination of the chloride migration coefficient”.</w:t>
      </w:r>
    </w:p>
    <w:p w14:paraId="35FDBD85" w14:textId="74D2B9D2" w:rsidR="00B773A8" w:rsidRPr="00B773A8"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Li, Q., Li, K.F., Zhou, X., Zhang, Q. and Fan, Z. (2015). “Model-based durability design of concrete structures in Hong Kong–Zhuhai–</w:t>
      </w:r>
      <w:proofErr w:type="gramStart"/>
      <w:r w:rsidRPr="00B773A8">
        <w:rPr>
          <w:rFonts w:ascii="Times New Roman" w:hAnsi="Times New Roman" w:cs="Times New Roman"/>
          <w:lang w:val="en-GB"/>
        </w:rPr>
        <w:t>Macau sea</w:t>
      </w:r>
      <w:proofErr w:type="gramEnd"/>
      <w:r w:rsidRPr="00B773A8">
        <w:rPr>
          <w:rFonts w:ascii="Times New Roman" w:hAnsi="Times New Roman" w:cs="Times New Roman"/>
          <w:lang w:val="en-GB"/>
        </w:rPr>
        <w:t xml:space="preserve"> link project”. Structural Safety, v. 53, March, 1–12.</w:t>
      </w:r>
    </w:p>
    <w:p w14:paraId="6A5F03E7" w14:textId="5CF90C6A" w:rsidR="00B773A8"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 xml:space="preserve">Li, K. and Torrent, R. (2016). "Analytical and Experimental Service Life Assessment of Hong Kong-Zhuhai-Macau Link”. IABMAS 2016, Paper 427, </w:t>
      </w:r>
      <w:proofErr w:type="spellStart"/>
      <w:r w:rsidRPr="00B773A8">
        <w:rPr>
          <w:rFonts w:ascii="Times New Roman" w:hAnsi="Times New Roman" w:cs="Times New Roman"/>
          <w:lang w:val="en-GB"/>
        </w:rPr>
        <w:t>Foz</w:t>
      </w:r>
      <w:proofErr w:type="spellEnd"/>
      <w:r w:rsidRPr="00B773A8">
        <w:rPr>
          <w:rFonts w:ascii="Times New Roman" w:hAnsi="Times New Roman" w:cs="Times New Roman"/>
          <w:lang w:val="en-GB"/>
        </w:rPr>
        <w:t xml:space="preserve"> do Iguaçú, Brazil, 26-30 June.</w:t>
      </w:r>
    </w:p>
    <w:p w14:paraId="3CF03C42" w14:textId="77777777" w:rsidR="00B773A8" w:rsidRPr="00B773A8"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 xml:space="preserve">Torrent, R. (2013). "Service Life Prediction: </w:t>
      </w:r>
      <w:proofErr w:type="spellStart"/>
      <w:r w:rsidRPr="00B773A8">
        <w:rPr>
          <w:rFonts w:ascii="Times New Roman" w:hAnsi="Times New Roman" w:cs="Times New Roman"/>
          <w:lang w:val="en-GB"/>
        </w:rPr>
        <w:t>Theorecrete</w:t>
      </w:r>
      <w:proofErr w:type="spellEnd"/>
      <w:r w:rsidRPr="00B773A8">
        <w:rPr>
          <w:rFonts w:ascii="Times New Roman" w:hAnsi="Times New Roman" w:cs="Times New Roman"/>
          <w:lang w:val="en-GB"/>
        </w:rPr>
        <w:t xml:space="preserve">, Labcrete and </w:t>
      </w:r>
      <w:proofErr w:type="spellStart"/>
      <w:r w:rsidRPr="00B773A8">
        <w:rPr>
          <w:rFonts w:ascii="Times New Roman" w:hAnsi="Times New Roman" w:cs="Times New Roman"/>
          <w:lang w:val="en-GB"/>
        </w:rPr>
        <w:t>Realcrete</w:t>
      </w:r>
      <w:proofErr w:type="spellEnd"/>
      <w:r w:rsidRPr="00B773A8">
        <w:rPr>
          <w:rFonts w:ascii="Times New Roman" w:hAnsi="Times New Roman" w:cs="Times New Roman"/>
          <w:lang w:val="en-GB"/>
        </w:rPr>
        <w:t xml:space="preserve"> Approaches", Keynote Paper, SCTM3 Conference, Kyoto, Japan, 18-21 August.</w:t>
      </w:r>
    </w:p>
    <w:p w14:paraId="5FFD89FD" w14:textId="77777777" w:rsidR="00B773A8"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 xml:space="preserve">Torrent, R. (2015). "Exp-Ref: A Simple, Realistic and Robust Method to Assess Service Life of Reinforced Concrete Structures", Concrete 2015, 30 August -2 September, Melbourne, </w:t>
      </w:r>
      <w:proofErr w:type="spellStart"/>
      <w:r w:rsidRPr="00B773A8">
        <w:rPr>
          <w:rFonts w:ascii="Times New Roman" w:hAnsi="Times New Roman" w:cs="Times New Roman"/>
          <w:lang w:val="en-GB"/>
        </w:rPr>
        <w:t>Australia.</w:t>
      </w:r>
      <w:proofErr w:type="spellEnd"/>
    </w:p>
    <w:p w14:paraId="7FC70676" w14:textId="40BE4F85" w:rsidR="00B773A8" w:rsidRPr="00B773A8"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 xml:space="preserve">Torrent, R., Neves, R. and </w:t>
      </w:r>
      <w:proofErr w:type="spellStart"/>
      <w:r w:rsidRPr="00B773A8">
        <w:rPr>
          <w:rFonts w:ascii="Times New Roman" w:hAnsi="Times New Roman" w:cs="Times New Roman"/>
          <w:lang w:val="en-GB"/>
        </w:rPr>
        <w:t>Imamoto</w:t>
      </w:r>
      <w:proofErr w:type="spellEnd"/>
      <w:r w:rsidRPr="00B773A8">
        <w:rPr>
          <w:rFonts w:ascii="Times New Roman" w:hAnsi="Times New Roman" w:cs="Times New Roman"/>
          <w:lang w:val="en-GB"/>
        </w:rPr>
        <w:t>, K. (2022). "Concrete Permeability and Durability Performance – From Theory to Field Applications". CRC Press, Boca Raton, FL, USA and Abingdon, Oxon, UK, 570 p.</w:t>
      </w:r>
    </w:p>
    <w:p w14:paraId="595E235C" w14:textId="114FE8C3" w:rsidR="00B773A8" w:rsidRPr="00E54CE1" w:rsidRDefault="00B773A8" w:rsidP="00B773A8">
      <w:pPr>
        <w:spacing w:after="120"/>
        <w:jc w:val="both"/>
        <w:rPr>
          <w:rFonts w:ascii="Times New Roman" w:hAnsi="Times New Roman" w:cs="Times New Roman"/>
          <w:lang w:val="en-GB"/>
        </w:rPr>
      </w:pPr>
      <w:r w:rsidRPr="00B773A8">
        <w:rPr>
          <w:rFonts w:ascii="Times New Roman" w:hAnsi="Times New Roman" w:cs="Times New Roman"/>
          <w:lang w:val="en-GB"/>
        </w:rPr>
        <w:t>Wang, Y.F., Dong, G.H., Deng, F. and Fan, Z.H. (2014). "Application research of the efficient detection for permeability of the large marine concrete structures". Appl. Mechanics and Mater., v525, 512-517</w:t>
      </w:r>
    </w:p>
    <w:bookmarkEnd w:id="0"/>
    <w:p w14:paraId="0302E3F5" w14:textId="77777777" w:rsidR="001E552E" w:rsidRDefault="001E552E"/>
    <w:sectPr w:rsidR="001E55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26"/>
    <w:rsid w:val="001E552E"/>
    <w:rsid w:val="004D0EDC"/>
    <w:rsid w:val="0054524E"/>
    <w:rsid w:val="00720400"/>
    <w:rsid w:val="00787A26"/>
    <w:rsid w:val="00B64325"/>
    <w:rsid w:val="00B773A8"/>
    <w:rsid w:val="00BF0D79"/>
    <w:rsid w:val="00D63BCA"/>
    <w:rsid w:val="00E30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CDB6"/>
  <w15:chartTrackingRefBased/>
  <w15:docId w15:val="{496444E6-5A73-452D-AF41-1D401010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26"/>
    <w:pPr>
      <w:spacing w:after="200" w:line="276" w:lineRule="auto"/>
    </w:pPr>
    <w:rPr>
      <w:rFonts w:eastAsiaTheme="minorEastAsia"/>
      <w:lang w:val="it-CH"/>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307F2"/>
    <w:pPr>
      <w:spacing w:after="0" w:line="240" w:lineRule="auto"/>
    </w:pPr>
    <w:rPr>
      <w:rFonts w:ascii="Calibri" w:eastAsia="PMingLiU" w:hAnsi="Calibri" w:cs="Times New Roman"/>
      <w:sz w:val="20"/>
      <w:szCs w:val="20"/>
      <w:lang w:val="it-CH" w:eastAsia="it-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1453</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Torrent</dc:creator>
  <cp:keywords/>
  <dc:description/>
  <cp:lastModifiedBy>Roberto Torrent</cp:lastModifiedBy>
  <cp:revision>1</cp:revision>
  <dcterms:created xsi:type="dcterms:W3CDTF">2022-07-18T14:19:00Z</dcterms:created>
  <dcterms:modified xsi:type="dcterms:W3CDTF">2022-07-18T14:58:00Z</dcterms:modified>
</cp:coreProperties>
</file>